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6BCC1E" w14:textId="6A5857AD" w:rsidR="00820508" w:rsidRPr="00C35BC8" w:rsidRDefault="00820508" w:rsidP="00820508">
      <w:pPr>
        <w:pStyle w:val="3GPPHeader"/>
        <w:spacing w:after="60"/>
        <w:rPr>
          <w:rFonts w:cs="Arial"/>
          <w:sz w:val="32"/>
          <w:szCs w:val="32"/>
          <w:highlight w:val="yellow"/>
          <w:lang w:val="de-DE"/>
        </w:rPr>
      </w:pPr>
      <w:bookmarkStart w:id="0" w:name="_Hlk512852793"/>
      <w:r w:rsidRPr="00C35BC8">
        <w:rPr>
          <w:rFonts w:cs="Arial"/>
          <w:lang w:val="de-DE"/>
        </w:rPr>
        <w:t>3GPP TSG-RAN WG2 #10</w:t>
      </w:r>
      <w:r w:rsidR="00EF24C2">
        <w:rPr>
          <w:rFonts w:cs="Arial"/>
          <w:lang w:val="de-DE"/>
        </w:rPr>
        <w:t>8</w:t>
      </w:r>
      <w:r w:rsidRPr="00C35BC8">
        <w:rPr>
          <w:rFonts w:cs="Arial"/>
          <w:lang w:val="de-DE"/>
        </w:rPr>
        <w:tab/>
      </w:r>
      <w:r w:rsidRPr="0039653B">
        <w:rPr>
          <w:rFonts w:cs="Arial"/>
          <w:sz w:val="32"/>
          <w:szCs w:val="32"/>
          <w:lang w:val="de-DE"/>
        </w:rPr>
        <w:t>R2-19</w:t>
      </w:r>
      <w:r w:rsidR="0039653B" w:rsidRPr="0039653B">
        <w:rPr>
          <w:rFonts w:cs="Arial"/>
          <w:sz w:val="32"/>
          <w:szCs w:val="32"/>
          <w:lang w:val="de-DE"/>
        </w:rPr>
        <w:t>1</w:t>
      </w:r>
      <w:r w:rsidR="00AC0B86">
        <w:rPr>
          <w:rFonts w:cs="Arial"/>
          <w:sz w:val="32"/>
          <w:szCs w:val="32"/>
          <w:lang w:val="de-DE"/>
        </w:rPr>
        <w:t>5382</w:t>
      </w:r>
    </w:p>
    <w:bookmarkEnd w:id="0"/>
    <w:p w14:paraId="29825259" w14:textId="19142A9A" w:rsidR="00820508" w:rsidRPr="007A6B98" w:rsidRDefault="00EF24C2" w:rsidP="00CA5B56">
      <w:pPr>
        <w:pStyle w:val="CRCoverPage"/>
        <w:tabs>
          <w:tab w:val="right" w:pos="9639"/>
        </w:tabs>
        <w:outlineLvl w:val="0"/>
        <w:rPr>
          <w:rFonts w:cs="Arial"/>
          <w:b/>
          <w:noProof/>
          <w:sz w:val="24"/>
        </w:rPr>
      </w:pPr>
      <w:r>
        <w:rPr>
          <w:rFonts w:cs="Arial"/>
          <w:b/>
          <w:noProof/>
          <w:sz w:val="24"/>
        </w:rPr>
        <w:t>Reno</w:t>
      </w:r>
      <w:r w:rsidR="00820508" w:rsidRPr="007A6B98">
        <w:rPr>
          <w:rFonts w:cs="Arial"/>
          <w:b/>
          <w:noProof/>
          <w:sz w:val="24"/>
        </w:rPr>
        <w:t xml:space="preserve">, </w:t>
      </w:r>
      <w:r>
        <w:rPr>
          <w:rFonts w:cs="Arial"/>
          <w:b/>
          <w:noProof/>
          <w:sz w:val="24"/>
        </w:rPr>
        <w:t>USA</w:t>
      </w:r>
      <w:r w:rsidR="00820508" w:rsidRPr="007A6B98">
        <w:rPr>
          <w:rFonts w:cs="Arial"/>
          <w:b/>
          <w:noProof/>
          <w:sz w:val="24"/>
        </w:rPr>
        <w:t xml:space="preserve">, </w:t>
      </w:r>
      <w:r w:rsidR="00820508">
        <w:rPr>
          <w:rFonts w:cs="Arial"/>
          <w:b/>
          <w:noProof/>
          <w:sz w:val="24"/>
        </w:rPr>
        <w:t>1</w:t>
      </w:r>
      <w:r>
        <w:rPr>
          <w:rFonts w:cs="Arial"/>
          <w:b/>
          <w:noProof/>
          <w:sz w:val="24"/>
        </w:rPr>
        <w:t>8</w:t>
      </w:r>
      <w:r w:rsidR="00820508" w:rsidRPr="007A6B98">
        <w:rPr>
          <w:rFonts w:cs="Arial"/>
          <w:b/>
          <w:noProof/>
          <w:sz w:val="24"/>
          <w:vertAlign w:val="superscript"/>
        </w:rPr>
        <w:t>th</w:t>
      </w:r>
      <w:r w:rsidR="00820508" w:rsidRPr="007A6B98">
        <w:rPr>
          <w:rFonts w:cs="Arial"/>
          <w:b/>
          <w:noProof/>
          <w:sz w:val="24"/>
        </w:rPr>
        <w:t xml:space="preserve"> – </w:t>
      </w:r>
      <w:r>
        <w:rPr>
          <w:rFonts w:cs="Arial"/>
          <w:b/>
          <w:noProof/>
          <w:sz w:val="24"/>
        </w:rPr>
        <w:t>22</w:t>
      </w:r>
      <w:r>
        <w:rPr>
          <w:rFonts w:cs="Arial"/>
          <w:b/>
          <w:noProof/>
          <w:sz w:val="24"/>
          <w:vertAlign w:val="superscript"/>
        </w:rPr>
        <w:t>nd</w:t>
      </w:r>
      <w:r w:rsidR="00820508" w:rsidRPr="007A6B98">
        <w:rPr>
          <w:rFonts w:cs="Arial"/>
          <w:b/>
          <w:noProof/>
          <w:sz w:val="24"/>
        </w:rPr>
        <w:t xml:space="preserve"> </w:t>
      </w:r>
      <w:r>
        <w:rPr>
          <w:rFonts w:cs="Arial"/>
          <w:b/>
          <w:noProof/>
          <w:sz w:val="24"/>
        </w:rPr>
        <w:t>November</w:t>
      </w:r>
      <w:r w:rsidR="00820508">
        <w:rPr>
          <w:rFonts w:cs="Arial"/>
          <w:b/>
          <w:noProof/>
          <w:sz w:val="24"/>
        </w:rPr>
        <w:t xml:space="preserve"> </w:t>
      </w:r>
      <w:r w:rsidR="00820508" w:rsidRPr="007A6B98">
        <w:rPr>
          <w:rFonts w:cs="Arial"/>
          <w:b/>
          <w:noProof/>
          <w:sz w:val="24"/>
        </w:rPr>
        <w:t>2019</w:t>
      </w:r>
      <w:r w:rsidR="00CA5B56">
        <w:rPr>
          <w:rFonts w:cs="Arial"/>
          <w:b/>
          <w:noProof/>
          <w:sz w:val="24"/>
        </w:rPr>
        <w:tab/>
        <w:t>(</w:t>
      </w:r>
      <w:r w:rsidR="002F7A3C">
        <w:rPr>
          <w:rFonts w:cs="Arial"/>
          <w:b/>
          <w:noProof/>
          <w:sz w:val="24"/>
        </w:rPr>
        <w:t>Revision</w:t>
      </w:r>
      <w:r w:rsidR="00CA5B56">
        <w:rPr>
          <w:rFonts w:cs="Arial"/>
          <w:b/>
          <w:noProof/>
          <w:sz w:val="24"/>
        </w:rPr>
        <w:t xml:space="preserve"> of R2-191</w:t>
      </w:r>
      <w:r>
        <w:rPr>
          <w:rFonts w:cs="Arial"/>
          <w:b/>
          <w:noProof/>
          <w:sz w:val="24"/>
        </w:rPr>
        <w:t>3333</w:t>
      </w:r>
      <w:r w:rsidR="00CA5B56">
        <w:rPr>
          <w:rFonts w:cs="Arial"/>
          <w:b/>
          <w:noProof/>
          <w:sz w:val="24"/>
        </w:rPr>
        <w:t>)</w:t>
      </w:r>
    </w:p>
    <w:p w14:paraId="3011E05E" w14:textId="77777777" w:rsidR="00201BEF" w:rsidRPr="007A6B98" w:rsidRDefault="00201BEF" w:rsidP="00201BEF">
      <w:pPr>
        <w:pStyle w:val="3GPPHeader"/>
        <w:rPr>
          <w:rFonts w:cs="Arial"/>
        </w:rPr>
      </w:pPr>
    </w:p>
    <w:p w14:paraId="38D93AEF" w14:textId="12FB9F50" w:rsidR="00201BEF" w:rsidRPr="007A6B98" w:rsidRDefault="00201BEF" w:rsidP="005C3812">
      <w:pPr>
        <w:pStyle w:val="3GPPHeader"/>
        <w:rPr>
          <w:rFonts w:cs="Arial"/>
          <w:sz w:val="22"/>
          <w:szCs w:val="22"/>
        </w:rPr>
      </w:pPr>
      <w:r w:rsidRPr="001751C7">
        <w:rPr>
          <w:rFonts w:cs="Arial"/>
          <w:sz w:val="22"/>
          <w:szCs w:val="22"/>
          <w:lang w:val="en-US"/>
        </w:rPr>
        <w:t>Agenda Item:</w:t>
      </w:r>
      <w:r w:rsidRPr="001751C7">
        <w:rPr>
          <w:rFonts w:cs="Arial"/>
          <w:sz w:val="22"/>
          <w:szCs w:val="22"/>
          <w:lang w:val="en-US"/>
        </w:rPr>
        <w:tab/>
      </w:r>
      <w:r w:rsidR="0039653B" w:rsidRPr="00AC0B86">
        <w:rPr>
          <w:rFonts w:cs="Arial"/>
          <w:sz w:val="22"/>
          <w:szCs w:val="22"/>
        </w:rPr>
        <w:t>6.4.5</w:t>
      </w:r>
    </w:p>
    <w:p w14:paraId="00B6B2ED" w14:textId="77777777" w:rsidR="00201BEF" w:rsidRPr="007A6B98" w:rsidRDefault="00201BEF" w:rsidP="005C3812">
      <w:pPr>
        <w:pStyle w:val="3GPPHeader"/>
        <w:rPr>
          <w:rFonts w:cs="Arial"/>
          <w:sz w:val="22"/>
          <w:szCs w:val="22"/>
        </w:rPr>
      </w:pPr>
      <w:r w:rsidRPr="007A6B98">
        <w:rPr>
          <w:rFonts w:cs="Arial"/>
          <w:sz w:val="22"/>
          <w:szCs w:val="22"/>
        </w:rPr>
        <w:t>Source:</w:t>
      </w:r>
      <w:r w:rsidRPr="007A6B98">
        <w:rPr>
          <w:rFonts w:cs="Arial"/>
          <w:sz w:val="22"/>
          <w:szCs w:val="22"/>
        </w:rPr>
        <w:tab/>
        <w:t>Ericsson</w:t>
      </w:r>
    </w:p>
    <w:p w14:paraId="6990B582" w14:textId="15B76F6E" w:rsidR="00ED7926" w:rsidRPr="007A6B98" w:rsidRDefault="00201BEF" w:rsidP="005C3812">
      <w:pPr>
        <w:pStyle w:val="3GPPHeader"/>
        <w:rPr>
          <w:rFonts w:cs="Arial"/>
          <w:sz w:val="22"/>
          <w:szCs w:val="22"/>
        </w:rPr>
      </w:pPr>
      <w:r w:rsidRPr="007A6B98">
        <w:rPr>
          <w:rFonts w:cs="Arial"/>
          <w:sz w:val="22"/>
          <w:szCs w:val="22"/>
        </w:rPr>
        <w:t>Title:</w:t>
      </w:r>
      <w:r w:rsidRPr="007A6B98">
        <w:rPr>
          <w:rFonts w:cs="Arial"/>
          <w:sz w:val="22"/>
          <w:szCs w:val="22"/>
        </w:rPr>
        <w:tab/>
      </w:r>
      <w:r w:rsidR="00EF24C2">
        <w:rPr>
          <w:rFonts w:cs="Arial"/>
          <w:sz w:val="22"/>
          <w:szCs w:val="22"/>
        </w:rPr>
        <w:t>Remaining issues on</w:t>
      </w:r>
      <w:r w:rsidR="00483F68" w:rsidRPr="00483F68">
        <w:rPr>
          <w:rFonts w:cs="Arial"/>
          <w:sz w:val="22"/>
          <w:szCs w:val="22"/>
        </w:rPr>
        <w:t xml:space="preserve"> capability transfer in sid</w:t>
      </w:r>
      <w:r w:rsidR="00ED7926">
        <w:rPr>
          <w:rFonts w:cs="Arial"/>
          <w:sz w:val="22"/>
          <w:szCs w:val="22"/>
        </w:rPr>
        <w:t>elink</w:t>
      </w:r>
    </w:p>
    <w:p w14:paraId="63AC6A90" w14:textId="243BFAF2" w:rsidR="00201BEF" w:rsidRDefault="00201BEF" w:rsidP="005C3812">
      <w:pPr>
        <w:pStyle w:val="3GPPHeader"/>
        <w:rPr>
          <w:rFonts w:cs="Arial"/>
          <w:sz w:val="22"/>
          <w:szCs w:val="22"/>
        </w:rPr>
      </w:pPr>
      <w:r w:rsidRPr="007A6B98">
        <w:rPr>
          <w:rFonts w:cs="Arial"/>
          <w:sz w:val="22"/>
          <w:szCs w:val="22"/>
        </w:rPr>
        <w:t>Document for:</w:t>
      </w:r>
      <w:r w:rsidRPr="007A6B98">
        <w:rPr>
          <w:rFonts w:cs="Arial"/>
          <w:sz w:val="22"/>
          <w:szCs w:val="22"/>
        </w:rPr>
        <w:tab/>
        <w:t>Discussion, Decision</w:t>
      </w:r>
    </w:p>
    <w:p w14:paraId="2C16CE7D" w14:textId="77777777" w:rsidR="005C3812" w:rsidRPr="007A6B98" w:rsidRDefault="005C3812" w:rsidP="005C3812">
      <w:pPr>
        <w:pStyle w:val="3GPPHeader"/>
        <w:rPr>
          <w:rFonts w:cs="Arial"/>
          <w:sz w:val="22"/>
          <w:szCs w:val="22"/>
        </w:rPr>
      </w:pPr>
    </w:p>
    <w:p w14:paraId="01CB7C24" w14:textId="77777777" w:rsidR="00E65E6F" w:rsidRDefault="00E65E6F" w:rsidP="00E65E6F">
      <w:pPr>
        <w:pStyle w:val="Heading1"/>
        <w:numPr>
          <w:ilvl w:val="0"/>
          <w:numId w:val="8"/>
        </w:numPr>
      </w:pPr>
      <w:r w:rsidRPr="00CE0424">
        <w:t>Introduction</w:t>
      </w:r>
    </w:p>
    <w:p w14:paraId="6D552A74" w14:textId="2E27C67F" w:rsidR="004D2EBF" w:rsidRDefault="004D2EBF" w:rsidP="004D2EBF">
      <w:r>
        <w:t>In the last RAN2#107bis meeting, the following agreements has been reached regarding the capability transfer among SL UEs.</w:t>
      </w:r>
    </w:p>
    <w:p w14:paraId="38461D36" w14:textId="77777777" w:rsidR="004D2EBF" w:rsidRPr="005F1AFD" w:rsidRDefault="004D2EBF" w:rsidP="004D2EBF">
      <w:pPr>
        <w:pBdr>
          <w:top w:val="single" w:sz="4" w:space="1" w:color="auto"/>
          <w:left w:val="single" w:sz="4" w:space="4" w:color="auto"/>
          <w:bottom w:val="single" w:sz="4" w:space="1" w:color="auto"/>
          <w:right w:val="single" w:sz="4" w:space="0" w:color="auto"/>
        </w:pBdr>
        <w:tabs>
          <w:tab w:val="left" w:pos="1622"/>
        </w:tabs>
        <w:ind w:left="726" w:right="850" w:hanging="363"/>
      </w:pPr>
      <w:r w:rsidRPr="005F1AFD">
        <w:t>Agreements</w:t>
      </w:r>
      <w:r>
        <w:t xml:space="preserve"> on UE capability transfer: </w:t>
      </w:r>
    </w:p>
    <w:p w14:paraId="74DB6E8A" w14:textId="77777777" w:rsidR="004D2EBF" w:rsidRDefault="004D2EBF" w:rsidP="004D2EBF">
      <w:pPr>
        <w:pBdr>
          <w:top w:val="single" w:sz="4" w:space="1" w:color="auto"/>
          <w:left w:val="single" w:sz="4" w:space="4" w:color="auto"/>
          <w:bottom w:val="single" w:sz="4" w:space="1" w:color="auto"/>
          <w:right w:val="single" w:sz="4" w:space="0" w:color="auto"/>
        </w:pBdr>
        <w:tabs>
          <w:tab w:val="left" w:pos="1622"/>
        </w:tabs>
        <w:ind w:left="726" w:right="850" w:hanging="363"/>
        <w:rPr>
          <w:noProof/>
        </w:rPr>
      </w:pPr>
      <w:r>
        <w:t>1:</w:t>
      </w:r>
      <w:r>
        <w:tab/>
      </w:r>
      <w:r>
        <w:rPr>
          <w:noProof/>
        </w:rPr>
        <w:t>Two-way procedure is only used for capability transfer in SL unicast.</w:t>
      </w:r>
    </w:p>
    <w:p w14:paraId="212CA0BE" w14:textId="77777777" w:rsidR="004D2EBF" w:rsidRDefault="004D2EBF" w:rsidP="004D2EBF">
      <w:pPr>
        <w:pBdr>
          <w:top w:val="single" w:sz="4" w:space="1" w:color="auto"/>
          <w:left w:val="single" w:sz="4" w:space="4" w:color="auto"/>
          <w:bottom w:val="single" w:sz="4" w:space="1" w:color="auto"/>
          <w:right w:val="single" w:sz="4" w:space="0" w:color="auto"/>
        </w:pBdr>
        <w:tabs>
          <w:tab w:val="left" w:pos="1622"/>
        </w:tabs>
        <w:ind w:left="726" w:right="850" w:hanging="363"/>
        <w:rPr>
          <w:noProof/>
        </w:rPr>
      </w:pPr>
      <w:r>
        <w:rPr>
          <w:noProof/>
        </w:rPr>
        <w:t>2:</w:t>
      </w:r>
      <w:r>
        <w:rPr>
          <w:noProof/>
        </w:rPr>
        <w:tab/>
        <w:t>A UE can send Capability Enquiry message to request peer UE's capability along with its own capability information for SL unicast. When to include its own capabilities is up to UE implementation.</w:t>
      </w:r>
      <w:r>
        <w:tab/>
      </w:r>
    </w:p>
    <w:p w14:paraId="46F6C197" w14:textId="77777777" w:rsidR="004D2EBF" w:rsidRDefault="004D2EBF" w:rsidP="004D2EBF"/>
    <w:p w14:paraId="49D04284" w14:textId="16D37401" w:rsidR="00B02797" w:rsidRPr="004D2EBF" w:rsidRDefault="00E65E6F" w:rsidP="00201BEF">
      <w:pPr>
        <w:rPr>
          <w:b/>
        </w:rPr>
      </w:pPr>
      <w:r w:rsidRPr="00087FC6">
        <w:t xml:space="preserve">In this paper, we further discuss </w:t>
      </w:r>
      <w:r w:rsidR="004D2EBF">
        <w:t>some remaining open issues</w:t>
      </w:r>
      <w:r w:rsidRPr="00087FC6">
        <w:t xml:space="preserve"> on the capability information exchange. </w:t>
      </w:r>
    </w:p>
    <w:p w14:paraId="000624F4" w14:textId="789384D3" w:rsidR="00003486" w:rsidRPr="003E153B" w:rsidRDefault="00201BEF" w:rsidP="00003486">
      <w:pPr>
        <w:pStyle w:val="Heading1"/>
      </w:pPr>
      <w:bookmarkStart w:id="1" w:name="_Ref490149211"/>
      <w:r w:rsidRPr="007A6B98">
        <w:t>Discussion</w:t>
      </w:r>
      <w:bookmarkEnd w:id="1"/>
    </w:p>
    <w:p w14:paraId="52A3338D" w14:textId="305128DF" w:rsidR="006968AF" w:rsidRPr="00087FC6" w:rsidRDefault="006968AF" w:rsidP="006968AF">
      <w:r w:rsidRPr="00087FC6">
        <w:t xml:space="preserve">The exchange of information between different UEs is done using a two-way procedure between the </w:t>
      </w:r>
      <w:proofErr w:type="spellStart"/>
      <w:r w:rsidRPr="00087FC6">
        <w:t>gNB</w:t>
      </w:r>
      <w:proofErr w:type="spellEnd"/>
      <w:r w:rsidRPr="00087FC6">
        <w:t xml:space="preserve"> and the UE in NR, i.e. enquiry based. However, for </w:t>
      </w:r>
      <w:r w:rsidR="00807676" w:rsidRPr="00087FC6">
        <w:t>NR SL</w:t>
      </w:r>
      <w:r w:rsidRPr="00087FC6">
        <w:t xml:space="preserve"> one critical issue to consider is the latency of the communications, </w:t>
      </w:r>
      <w:r w:rsidR="00D01564" w:rsidRPr="00087FC6">
        <w:t>specifically</w:t>
      </w:r>
      <w:r w:rsidRPr="00087FC6">
        <w:t xml:space="preserve"> for some advance</w:t>
      </w:r>
      <w:r w:rsidR="007E4A64">
        <w:t>d</w:t>
      </w:r>
      <w:r w:rsidRPr="00087FC6">
        <w:t xml:space="preserve"> driving cases, where the two-way procedure may not be optimal in terms of achieving the stringent requirements</w:t>
      </w:r>
      <w:r w:rsidR="00B35BC4" w:rsidRPr="00087FC6">
        <w:t xml:space="preserve"> poses by the QoS</w:t>
      </w:r>
      <w:r w:rsidRPr="00087FC6">
        <w:t>.</w:t>
      </w:r>
    </w:p>
    <w:p w14:paraId="334963E1" w14:textId="3A416DBE" w:rsidR="003A4708" w:rsidRDefault="003A4708" w:rsidP="002752FA">
      <w:pPr>
        <w:pStyle w:val="Observation"/>
        <w:ind w:left="1701" w:hanging="1701"/>
      </w:pPr>
      <w:bookmarkStart w:id="2" w:name="_Toc24061442"/>
      <w:r w:rsidRPr="00087FC6">
        <w:t xml:space="preserve">Legacy NR capability exchange may be not </w:t>
      </w:r>
      <w:r w:rsidR="00B0773D" w:rsidRPr="00087FC6">
        <w:t>suitable for V2X application with stringent QoS requirements (e.g., latency).</w:t>
      </w:r>
      <w:bookmarkEnd w:id="2"/>
    </w:p>
    <w:p w14:paraId="7B1BDCCD" w14:textId="7772D891" w:rsidR="006A00F4" w:rsidRPr="00087FC6" w:rsidRDefault="006A00F4" w:rsidP="006A00F4">
      <w:r>
        <w:t>On top of this, another aspect that should be considered, i</w:t>
      </w:r>
      <w:r w:rsidR="004A5BA0">
        <w:t>s</w:t>
      </w:r>
      <w:r>
        <w:t xml:space="preserve"> that in NR SL the capabilities exchange i</w:t>
      </w:r>
      <w:r w:rsidR="004A5BA0">
        <w:t>s</w:t>
      </w:r>
      <w:r>
        <w:t xml:space="preserve"> most likely to happen more often than in NR Uu where this procedure is triggered only once a week or even </w:t>
      </w:r>
      <w:r w:rsidR="004A5BA0">
        <w:t xml:space="preserve">once a </w:t>
      </w:r>
      <w:r>
        <w:t xml:space="preserve">month. For this reason, </w:t>
      </w:r>
      <w:r w:rsidR="002752FA">
        <w:t>when exchanging capabilities, the signalling overhead and the latency aspects should be taken into consideration.</w:t>
      </w:r>
    </w:p>
    <w:p w14:paraId="3BC8286E" w14:textId="128ED2C2" w:rsidR="00AB6F4E" w:rsidRPr="00087FC6" w:rsidRDefault="00AB6F4E" w:rsidP="006968AF">
      <w:pPr>
        <w:pStyle w:val="Observation"/>
        <w:ind w:left="1701" w:hanging="1701"/>
      </w:pPr>
      <w:bookmarkStart w:id="3" w:name="_Toc24061443"/>
      <w:r w:rsidRPr="00087FC6">
        <w:t>In</w:t>
      </w:r>
      <w:r w:rsidR="002752FA" w:rsidRPr="002752FA">
        <w:t xml:space="preserve"> NR SL the capabilities exchange i</w:t>
      </w:r>
      <w:r w:rsidR="004A5BA0">
        <w:t>s</w:t>
      </w:r>
      <w:r w:rsidR="002752FA" w:rsidRPr="002752FA">
        <w:t xml:space="preserve"> most likely to happen more often than in NR Uu where this procedure is triggered only once a week or even month</w:t>
      </w:r>
      <w:r w:rsidRPr="00087FC6">
        <w:t>.</w:t>
      </w:r>
      <w:bookmarkEnd w:id="3"/>
    </w:p>
    <w:p w14:paraId="4AC5FB3D" w14:textId="01FDC984" w:rsidR="00BC1333" w:rsidRDefault="00C079FF" w:rsidP="004D2EBF">
      <w:r w:rsidRPr="00087FC6">
        <w:t xml:space="preserve">During the last meeting </w:t>
      </w:r>
      <w:r w:rsidR="00AD3CB8" w:rsidRPr="00087FC6">
        <w:t xml:space="preserve">in </w:t>
      </w:r>
      <w:r w:rsidRPr="00087FC6">
        <w:t>RAN2#10</w:t>
      </w:r>
      <w:r w:rsidR="004D2EBF">
        <w:t xml:space="preserve">7bis, the capability information exchange was discussed, and it was agreed that the </w:t>
      </w:r>
      <w:r w:rsidR="004D2EBF" w:rsidRPr="00901FEE">
        <w:t>two-way capability exchange</w:t>
      </w:r>
      <w:r w:rsidR="004D2EBF">
        <w:t xml:space="preserve"> is used for NR SL. On top of this, due </w:t>
      </w:r>
      <w:r w:rsidR="00BC1333" w:rsidRPr="00901FEE">
        <w:t xml:space="preserve">to the fact that the capability structure </w:t>
      </w:r>
      <w:r w:rsidR="00924336" w:rsidRPr="00901FEE">
        <w:t xml:space="preserve">exchange in NR SL will be most likely less complex and heavy than that one used in NR Uu, </w:t>
      </w:r>
      <w:r w:rsidR="004D2EBF">
        <w:t xml:space="preserve">it was agreed </w:t>
      </w:r>
      <w:r w:rsidR="00924336" w:rsidRPr="00901FEE">
        <w:t xml:space="preserve">to </w:t>
      </w:r>
      <w:r w:rsidR="008D7EBC" w:rsidRPr="00901FEE">
        <w:t xml:space="preserve">merge the </w:t>
      </w:r>
      <w:r w:rsidR="004D2EBF">
        <w:t xml:space="preserve">capabilities </w:t>
      </w:r>
      <w:r w:rsidR="008D7EBC" w:rsidRPr="00901FEE">
        <w:t xml:space="preserve">messages used whenever possible. </w:t>
      </w:r>
      <w:r w:rsidR="004D2EBF">
        <w:t xml:space="preserve">This mean that the UE can optionally </w:t>
      </w:r>
      <w:r w:rsidR="000365C0" w:rsidRPr="00901FEE">
        <w:t xml:space="preserve">send the </w:t>
      </w:r>
      <w:proofErr w:type="spellStart"/>
      <w:r w:rsidR="00AD6488" w:rsidRPr="00901FEE">
        <w:rPr>
          <w:i/>
          <w:iCs/>
        </w:rPr>
        <w:t>UECapabilityEnquiry</w:t>
      </w:r>
      <w:proofErr w:type="spellEnd"/>
      <w:r w:rsidR="007022D5" w:rsidRPr="00901FEE">
        <w:t xml:space="preserve"> and the </w:t>
      </w:r>
      <w:proofErr w:type="spellStart"/>
      <w:r w:rsidR="007022D5" w:rsidRPr="00901FEE">
        <w:rPr>
          <w:i/>
          <w:iCs/>
        </w:rPr>
        <w:t>UECapabilityInformation</w:t>
      </w:r>
      <w:proofErr w:type="spellEnd"/>
      <w:r w:rsidR="007022D5" w:rsidRPr="00901FEE">
        <w:t xml:space="preserve"> message together thus using only one RRC message instead of two.</w:t>
      </w:r>
      <w:r w:rsidR="00901FEE">
        <w:t xml:space="preserve"> This will not only reduce the </w:t>
      </w:r>
      <w:r w:rsidR="00AF5498">
        <w:t>signalling</w:t>
      </w:r>
      <w:r w:rsidR="00901FEE">
        <w:t xml:space="preserve"> overhead, but it will improve the latency and also the radio resource used for this procedure. Therefore, we propose:</w:t>
      </w:r>
    </w:p>
    <w:p w14:paraId="1668B123" w14:textId="71ACBA6B" w:rsidR="00901FEE" w:rsidRPr="004D2EBF" w:rsidRDefault="00901FEE" w:rsidP="004D2EBF">
      <w:pPr>
        <w:pStyle w:val="Observation"/>
        <w:ind w:left="1701" w:hanging="1701"/>
      </w:pPr>
      <w:bookmarkStart w:id="4" w:name="_Toc24061444"/>
      <w:r w:rsidRPr="004D2EBF">
        <w:t>For the two-way capability transfer procedure, in NR SL the</w:t>
      </w:r>
      <w:r w:rsidR="008631D4" w:rsidRPr="004D2EBF">
        <w:t xml:space="preserve"> sending of </w:t>
      </w:r>
      <w:r w:rsidR="0065674D" w:rsidRPr="004D2EBF">
        <w:t xml:space="preserve">the </w:t>
      </w:r>
      <w:proofErr w:type="spellStart"/>
      <w:r w:rsidR="0065674D" w:rsidRPr="00AC0B86">
        <w:rPr>
          <w:i/>
          <w:iCs/>
        </w:rPr>
        <w:t>UECapabilityEnquiry</w:t>
      </w:r>
      <w:proofErr w:type="spellEnd"/>
      <w:r w:rsidRPr="004D2EBF">
        <w:t xml:space="preserve"> and the </w:t>
      </w:r>
      <w:proofErr w:type="spellStart"/>
      <w:r w:rsidRPr="00AC0B86">
        <w:rPr>
          <w:i/>
          <w:iCs/>
        </w:rPr>
        <w:t>UECapabilityInformation</w:t>
      </w:r>
      <w:proofErr w:type="spellEnd"/>
      <w:r w:rsidRPr="004D2EBF">
        <w:t xml:space="preserve"> in the same RRC message</w:t>
      </w:r>
      <w:r w:rsidR="008631D4" w:rsidRPr="004D2EBF">
        <w:t xml:space="preserve"> is supported</w:t>
      </w:r>
      <w:r w:rsidR="005F6EAF" w:rsidRPr="004D2EBF">
        <w:t>.</w:t>
      </w:r>
      <w:bookmarkEnd w:id="4"/>
    </w:p>
    <w:p w14:paraId="4CAAADF6" w14:textId="14B97EFE" w:rsidR="001A4B0B" w:rsidRDefault="001A4B0B" w:rsidP="00F05239">
      <w:r>
        <w:lastRenderedPageBreak/>
        <w:t>A further solution that can be used for improving the capability transfer in NR SL</w:t>
      </w:r>
      <w:r w:rsidR="009E783A">
        <w:t xml:space="preserve"> mode-1 is to allow the network of sending the capabilities of the SL UE pair directly</w:t>
      </w:r>
      <w:r w:rsidR="005F3CD9">
        <w:t xml:space="preserve"> via dedicated RRC. This of course will reduce the </w:t>
      </w:r>
      <w:r w:rsidR="0078406F">
        <w:t>signalling</w:t>
      </w:r>
      <w:r w:rsidR="005F3CD9">
        <w:t xml:space="preserve"> overhead over the PC5-RRC interface and will give the network a</w:t>
      </w:r>
      <w:r w:rsidR="00A62F8A">
        <w:t xml:space="preserve"> benefit in setting up the SL configuration, radio resource pool</w:t>
      </w:r>
      <w:r w:rsidR="001F10F4">
        <w:t>, and scheduling.</w:t>
      </w:r>
      <w:r w:rsidR="00624A27">
        <w:t xml:space="preserve"> </w:t>
      </w:r>
      <w:r w:rsidR="004E1E0A">
        <w:t xml:space="preserve">Whether the help of the network is required in forwarding the capabilities </w:t>
      </w:r>
      <w:r w:rsidR="00F86D33">
        <w:t>could be</w:t>
      </w:r>
      <w:r w:rsidR="00B80963">
        <w:t xml:space="preserve"> a decision of the SL UE when ask</w:t>
      </w:r>
      <w:r w:rsidR="00F86D33">
        <w:t>ing</w:t>
      </w:r>
      <w:r w:rsidR="00B80963">
        <w:t xml:space="preserve"> for the SL configuration (i.e., for SL </w:t>
      </w:r>
      <w:proofErr w:type="gramStart"/>
      <w:r w:rsidR="00B80963">
        <w:t>mode-1</w:t>
      </w:r>
      <w:proofErr w:type="gramEnd"/>
      <w:r w:rsidR="00B80963">
        <w:t>)</w:t>
      </w:r>
      <w:r w:rsidR="00010ABA">
        <w:t>. Thus:</w:t>
      </w:r>
    </w:p>
    <w:p w14:paraId="2FAC812E" w14:textId="528EB21F" w:rsidR="00B80963" w:rsidRDefault="00010ABA" w:rsidP="00F05239">
      <w:pPr>
        <w:pStyle w:val="Proposal"/>
      </w:pPr>
      <w:bookmarkStart w:id="5" w:name="_Toc24061445"/>
      <w:r>
        <w:t xml:space="preserve">For NR SL </w:t>
      </w:r>
      <w:proofErr w:type="gramStart"/>
      <w:r>
        <w:t>mode-1</w:t>
      </w:r>
      <w:proofErr w:type="gramEnd"/>
      <w:r>
        <w:t>, the direct sending of the SL UEs capabilities</w:t>
      </w:r>
      <w:r w:rsidR="0062631C">
        <w:t xml:space="preserve"> by the network</w:t>
      </w:r>
      <w:r w:rsidR="00A64B2E">
        <w:t xml:space="preserve"> (if available on the network side)</w:t>
      </w:r>
      <w:r>
        <w:t xml:space="preserve"> via </w:t>
      </w:r>
      <w:r w:rsidR="00EB425D">
        <w:t xml:space="preserve">dedicated RRC </w:t>
      </w:r>
      <w:r w:rsidR="00D06D1A">
        <w:t>over</w:t>
      </w:r>
      <w:r w:rsidR="00EB425D">
        <w:t xml:space="preserve"> the</w:t>
      </w:r>
      <w:r w:rsidR="00D06D1A">
        <w:t xml:space="preserve"> NR</w:t>
      </w:r>
      <w:r w:rsidR="00EB425D">
        <w:t xml:space="preserve"> Uu is supported.</w:t>
      </w:r>
      <w:bookmarkEnd w:id="5"/>
    </w:p>
    <w:p w14:paraId="54049FAE" w14:textId="0ADB2D48" w:rsidR="00B80963" w:rsidRPr="006E06E4" w:rsidRDefault="00B80963" w:rsidP="00B80963">
      <w:r>
        <w:t xml:space="preserve">Nevertheless, even if </w:t>
      </w:r>
      <w:r w:rsidR="001D43DF">
        <w:t>those capability solutions</w:t>
      </w:r>
      <w:r>
        <w:t xml:space="preserve"> are supported, it </w:t>
      </w:r>
      <w:r w:rsidR="001D43DF">
        <w:t>would make sense to leave the final decision to the UE</w:t>
      </w:r>
      <w:r>
        <w:t xml:space="preserve"> on which capability transfer procedure to use. Thus,</w:t>
      </w:r>
    </w:p>
    <w:p w14:paraId="68926A4B" w14:textId="29C03112" w:rsidR="00B80963" w:rsidRDefault="00B80963" w:rsidP="00B80963">
      <w:pPr>
        <w:pStyle w:val="Proposal"/>
      </w:pPr>
      <w:bookmarkStart w:id="6" w:name="_Toc24061446"/>
      <w:r>
        <w:t>It is up to UE implementation to choose which capability transfer procedure to use (i.e., two-way</w:t>
      </w:r>
      <w:r w:rsidRPr="00F455AA">
        <w:t xml:space="preserve"> </w:t>
      </w:r>
      <w:r>
        <w:t>capability transfer procedure</w:t>
      </w:r>
      <w:r w:rsidR="001D43DF">
        <w:t xml:space="preserve"> or </w:t>
      </w:r>
      <w:r w:rsidR="00600974">
        <w:t xml:space="preserve">send by </w:t>
      </w:r>
      <w:r w:rsidR="001D43DF">
        <w:t>network</w:t>
      </w:r>
      <w:r>
        <w:t>).</w:t>
      </w:r>
      <w:bookmarkEnd w:id="6"/>
    </w:p>
    <w:p w14:paraId="5438C321" w14:textId="6C96AE7C" w:rsidR="00600974" w:rsidRDefault="00600974" w:rsidP="002752FA">
      <w:r>
        <w:t>Another aspect that should not be overlooked</w:t>
      </w:r>
      <w:r w:rsidR="009E30EF">
        <w:t xml:space="preserve"> is the </w:t>
      </w:r>
      <w:r w:rsidR="00A129FE">
        <w:t xml:space="preserve">RRC processing time for such procedure that is required to be </w:t>
      </w:r>
      <w:r w:rsidR="001E1E38">
        <w:t>respected by the UE. In NR, after some discussion</w:t>
      </w:r>
      <w:r w:rsidR="00D35A57">
        <w:t>s</w:t>
      </w:r>
      <w:r w:rsidR="001E1E38">
        <w:t xml:space="preserve"> it has been decided to have 80ms for the RRC processing delay for the capability transfer procedure</w:t>
      </w:r>
      <w:r w:rsidR="00D35A57">
        <w:t xml:space="preserve">. This </w:t>
      </w:r>
      <w:r w:rsidR="006F43C7">
        <w:t xml:space="preserve">is </w:t>
      </w:r>
      <w:r w:rsidR="00D35A57">
        <w:t xml:space="preserve">mostly due to the fact that the all capability structure of NR is much more complex and larger than that one used for LTE. For this reason, UE vendors preferred to increase the processing delay to a value </w:t>
      </w:r>
      <w:r w:rsidR="006F43C7">
        <w:t xml:space="preserve">that </w:t>
      </w:r>
      <w:r w:rsidR="00D35A57">
        <w:t xml:space="preserve">can </w:t>
      </w:r>
      <w:r w:rsidR="006F43C7">
        <w:t xml:space="preserve">be </w:t>
      </w:r>
      <w:r w:rsidR="00D35A57">
        <w:t xml:space="preserve">reasonable for such new capability structure. For what concern NR SL, instead, </w:t>
      </w:r>
      <w:r w:rsidR="00301A90">
        <w:t xml:space="preserve">the plan is to have a capability structure that is </w:t>
      </w:r>
      <w:r w:rsidR="00F139EA">
        <w:t>leaner</w:t>
      </w:r>
      <w:r w:rsidR="00301A90">
        <w:t xml:space="preserve"> and not that complex as the one for NR Uu. According to this, 80ms would be an overkill</w:t>
      </w:r>
      <w:r w:rsidR="0031028C">
        <w:t xml:space="preserve"> and may pose concerns for such V2X service that require low latencies capabilities. </w:t>
      </w:r>
      <w:r w:rsidR="00AB1CDA">
        <w:t>For these reason</w:t>
      </w:r>
      <w:r w:rsidR="006D2859">
        <w:t>s</w:t>
      </w:r>
      <w:r w:rsidR="00AB1CDA">
        <w:t>, it would make sense to define a new RRC processing delay for the capability transfer procedure in NR SL and to set the value t</w:t>
      </w:r>
      <w:r w:rsidR="00F044F8">
        <w:t xml:space="preserve">o </w:t>
      </w:r>
      <w:r w:rsidR="006D2859">
        <w:t>a lower delay with respect to what is currently supported for NR Uu.</w:t>
      </w:r>
    </w:p>
    <w:p w14:paraId="08DB725C" w14:textId="0DEC80B4" w:rsidR="002752FA" w:rsidRPr="00087FC6" w:rsidRDefault="006D2859" w:rsidP="002752FA">
      <w:pPr>
        <w:pStyle w:val="Proposal"/>
      </w:pPr>
      <w:bookmarkStart w:id="7" w:name="_Toc24061447"/>
      <w:r>
        <w:t xml:space="preserve">RAN2 to define a new RRC processing </w:t>
      </w:r>
      <w:r w:rsidR="002E05E4">
        <w:t>time</w:t>
      </w:r>
      <w:r>
        <w:t xml:space="preserve"> for the capability transfer in NR SL</w:t>
      </w:r>
      <w:r w:rsidR="005521C5">
        <w:t xml:space="preserve"> and </w:t>
      </w:r>
      <w:r w:rsidR="00CF1131">
        <w:t xml:space="preserve">to </w:t>
      </w:r>
      <w:r w:rsidR="005521C5">
        <w:t xml:space="preserve">set the </w:t>
      </w:r>
      <w:r w:rsidR="007E472B">
        <w:t xml:space="preserve">new </w:t>
      </w:r>
      <w:r w:rsidR="005F3107">
        <w:t xml:space="preserve">processing </w:t>
      </w:r>
      <w:r w:rsidR="007E472B">
        <w:t xml:space="preserve">time </w:t>
      </w:r>
      <w:r w:rsidR="005F3107">
        <w:t>lower than 80ms (i.e., that is the value currently supported in NR Uu)</w:t>
      </w:r>
      <w:r w:rsidR="002752FA" w:rsidRPr="00087FC6">
        <w:t>.</w:t>
      </w:r>
      <w:bookmarkEnd w:id="7"/>
    </w:p>
    <w:p w14:paraId="7E0CA1CC" w14:textId="77777777" w:rsidR="00201BEF" w:rsidRPr="007A6B98" w:rsidRDefault="00201BEF" w:rsidP="00201BEF">
      <w:pPr>
        <w:pStyle w:val="Heading1"/>
        <w:overflowPunct/>
        <w:autoSpaceDE/>
        <w:autoSpaceDN/>
        <w:adjustRightInd/>
        <w:textAlignment w:val="auto"/>
      </w:pPr>
      <w:bookmarkStart w:id="8" w:name="_Ref528871418"/>
      <w:r w:rsidRPr="007A6B98">
        <w:t>Conclusions</w:t>
      </w:r>
      <w:bookmarkEnd w:id="8"/>
    </w:p>
    <w:p w14:paraId="45A7FC5B" w14:textId="2353AD65" w:rsidR="00201BEF" w:rsidRPr="00087FC6" w:rsidRDefault="00201BEF" w:rsidP="00201BEF">
      <w:pPr>
        <w:rPr>
          <w:rFonts w:cs="Arial"/>
        </w:rPr>
      </w:pPr>
      <w:r w:rsidRPr="00087FC6">
        <w:rPr>
          <w:rFonts w:cs="Arial"/>
        </w:rPr>
        <w:t xml:space="preserve">In section </w:t>
      </w:r>
      <w:r w:rsidRPr="00087FC6">
        <w:rPr>
          <w:rFonts w:cs="Arial"/>
        </w:rPr>
        <w:fldChar w:fldCharType="begin"/>
      </w:r>
      <w:r w:rsidRPr="00087FC6">
        <w:rPr>
          <w:rFonts w:cs="Arial"/>
        </w:rPr>
        <w:instrText xml:space="preserve"> REF _Ref490149211 \r \h </w:instrText>
      </w:r>
      <w:r w:rsidR="007A6B98" w:rsidRPr="00087FC6">
        <w:rPr>
          <w:rFonts w:cs="Arial"/>
        </w:rPr>
        <w:instrText xml:space="preserve"> \* MERGEFORMAT </w:instrText>
      </w:r>
      <w:r w:rsidRPr="00087FC6">
        <w:rPr>
          <w:rFonts w:cs="Arial"/>
        </w:rPr>
      </w:r>
      <w:r w:rsidRPr="00087FC6">
        <w:rPr>
          <w:rFonts w:cs="Arial"/>
        </w:rPr>
        <w:fldChar w:fldCharType="separate"/>
      </w:r>
      <w:r w:rsidR="00442AAF" w:rsidRPr="00087FC6">
        <w:rPr>
          <w:rFonts w:cs="Arial"/>
        </w:rPr>
        <w:t>2</w:t>
      </w:r>
      <w:r w:rsidRPr="00087FC6">
        <w:rPr>
          <w:rFonts w:cs="Arial"/>
        </w:rPr>
        <w:fldChar w:fldCharType="end"/>
      </w:r>
      <w:r w:rsidRPr="00087FC6">
        <w:rPr>
          <w:rFonts w:cs="Arial"/>
        </w:rPr>
        <w:t xml:space="preserve"> we made the following observations:</w:t>
      </w:r>
    </w:p>
    <w:p w14:paraId="7F561FB6" w14:textId="40BE6B61" w:rsidR="00F74AD0" w:rsidRDefault="002D37C0" w:rsidP="00F74AD0">
      <w:pPr>
        <w:pStyle w:val="TableofFigures"/>
        <w:tabs>
          <w:tab w:val="left" w:pos="1701"/>
          <w:tab w:val="right" w:leader="dot" w:pos="9629"/>
        </w:tabs>
        <w:ind w:left="1701" w:hanging="1701"/>
        <w:rPr>
          <w:rStyle w:val="Hyperlink"/>
          <w:b/>
          <w:bCs/>
          <w:noProof/>
        </w:rPr>
      </w:pPr>
      <w:r w:rsidRPr="00087FC6">
        <w:rPr>
          <w:rFonts w:cs="Arial"/>
          <w:b/>
        </w:rPr>
        <w:fldChar w:fldCharType="begin"/>
      </w:r>
      <w:r w:rsidRPr="00087FC6">
        <w:rPr>
          <w:rFonts w:cs="Arial"/>
          <w:b/>
        </w:rPr>
        <w:instrText xml:space="preserve"> TOC \n \h \z \t "Observation" \c </w:instrText>
      </w:r>
      <w:r w:rsidRPr="00087FC6">
        <w:rPr>
          <w:rFonts w:cs="Arial"/>
          <w:b/>
        </w:rPr>
        <w:fldChar w:fldCharType="separate"/>
      </w:r>
      <w:hyperlink w:anchor="_Toc24061442" w:history="1">
        <w:r w:rsidR="00F74AD0" w:rsidRPr="00F74AD0">
          <w:rPr>
            <w:rStyle w:val="Hyperlink"/>
            <w:b/>
            <w:bCs/>
            <w:noProof/>
          </w:rPr>
          <w:t>Observation 1</w:t>
        </w:r>
        <w:r w:rsidR="00F74AD0" w:rsidRPr="00F74AD0">
          <w:rPr>
            <w:rFonts w:asciiTheme="minorHAnsi" w:eastAsiaTheme="minorEastAsia" w:hAnsiTheme="minorHAnsi" w:cstheme="minorBidi"/>
            <w:b/>
            <w:bCs/>
            <w:noProof/>
            <w:sz w:val="24"/>
            <w:szCs w:val="24"/>
            <w:lang w:val="fi-FI" w:eastAsia="en-GB"/>
          </w:rPr>
          <w:tab/>
        </w:r>
        <w:r w:rsidR="00F74AD0" w:rsidRPr="00F74AD0">
          <w:rPr>
            <w:rStyle w:val="Hyperlink"/>
            <w:b/>
            <w:bCs/>
            <w:noProof/>
          </w:rPr>
          <w:t>Legacy NR capability exchange may be not suitable for V2X application with stringent QoS requirements (e.g., latency).</w:t>
        </w:r>
      </w:hyperlink>
    </w:p>
    <w:p w14:paraId="642A4EF7" w14:textId="77777777" w:rsidR="00F74AD0" w:rsidRPr="00F74AD0" w:rsidRDefault="00F74AD0" w:rsidP="00F74AD0">
      <w:pPr>
        <w:rPr>
          <w:rFonts w:eastAsiaTheme="minorEastAsia"/>
          <w:sz w:val="8"/>
          <w:szCs w:val="8"/>
        </w:rPr>
      </w:pPr>
    </w:p>
    <w:p w14:paraId="260B947C" w14:textId="07FB007F" w:rsidR="00F74AD0" w:rsidRDefault="00F74AD0" w:rsidP="00F74AD0">
      <w:pPr>
        <w:pStyle w:val="TableofFigures"/>
        <w:tabs>
          <w:tab w:val="left" w:pos="1701"/>
          <w:tab w:val="right" w:leader="dot" w:pos="9629"/>
        </w:tabs>
        <w:ind w:left="1701" w:hanging="1701"/>
        <w:rPr>
          <w:rStyle w:val="Hyperlink"/>
          <w:b/>
          <w:bCs/>
          <w:noProof/>
        </w:rPr>
      </w:pPr>
      <w:hyperlink w:anchor="_Toc24061443" w:history="1">
        <w:r w:rsidRPr="00F74AD0">
          <w:rPr>
            <w:rStyle w:val="Hyperlink"/>
            <w:b/>
            <w:bCs/>
            <w:noProof/>
          </w:rPr>
          <w:t>Observation 2</w:t>
        </w:r>
        <w:r w:rsidRPr="00F74AD0">
          <w:rPr>
            <w:rFonts w:asciiTheme="minorHAnsi" w:eastAsiaTheme="minorEastAsia" w:hAnsiTheme="minorHAnsi" w:cstheme="minorBidi"/>
            <w:b/>
            <w:bCs/>
            <w:noProof/>
            <w:sz w:val="24"/>
            <w:szCs w:val="24"/>
            <w:lang w:val="fi-FI" w:eastAsia="en-GB"/>
          </w:rPr>
          <w:tab/>
        </w:r>
        <w:r w:rsidRPr="00F74AD0">
          <w:rPr>
            <w:rStyle w:val="Hyperlink"/>
            <w:b/>
            <w:bCs/>
            <w:noProof/>
          </w:rPr>
          <w:t>I</w:t>
        </w:r>
        <w:r w:rsidRPr="00F74AD0">
          <w:rPr>
            <w:rStyle w:val="Hyperlink"/>
            <w:b/>
            <w:bCs/>
            <w:noProof/>
          </w:rPr>
          <w:t>n NR SL the capabilities exchange is most likely to happen more often than in NR Uu where this procedure is triggered only once a week or even month.</w:t>
        </w:r>
      </w:hyperlink>
    </w:p>
    <w:p w14:paraId="434EC581" w14:textId="77777777" w:rsidR="00F74AD0" w:rsidRPr="00F74AD0" w:rsidRDefault="00F74AD0" w:rsidP="00F74AD0">
      <w:pPr>
        <w:rPr>
          <w:rFonts w:eastAsiaTheme="minorEastAsia"/>
          <w:sz w:val="8"/>
          <w:szCs w:val="8"/>
        </w:rPr>
      </w:pPr>
    </w:p>
    <w:p w14:paraId="254C2D31" w14:textId="77777777" w:rsidR="00F74AD0" w:rsidRPr="00F74AD0" w:rsidRDefault="00F74AD0" w:rsidP="00F74AD0">
      <w:pPr>
        <w:pStyle w:val="TableofFigures"/>
        <w:tabs>
          <w:tab w:val="left" w:pos="1701"/>
          <w:tab w:val="right" w:leader="dot" w:pos="9629"/>
        </w:tabs>
        <w:ind w:left="1701" w:hanging="1701"/>
        <w:rPr>
          <w:rFonts w:asciiTheme="minorHAnsi" w:eastAsiaTheme="minorEastAsia" w:hAnsiTheme="minorHAnsi" w:cstheme="minorBidi"/>
          <w:b/>
          <w:bCs/>
          <w:noProof/>
          <w:sz w:val="24"/>
          <w:szCs w:val="24"/>
          <w:lang w:val="fi-FI" w:eastAsia="en-GB"/>
        </w:rPr>
      </w:pPr>
      <w:hyperlink w:anchor="_Toc24061444" w:history="1">
        <w:r w:rsidRPr="00F74AD0">
          <w:rPr>
            <w:rStyle w:val="Hyperlink"/>
            <w:b/>
            <w:bCs/>
            <w:noProof/>
          </w:rPr>
          <w:t>Observation 3</w:t>
        </w:r>
        <w:r w:rsidRPr="00F74AD0">
          <w:rPr>
            <w:rFonts w:asciiTheme="minorHAnsi" w:eastAsiaTheme="minorEastAsia" w:hAnsiTheme="minorHAnsi" w:cstheme="minorBidi"/>
            <w:b/>
            <w:bCs/>
            <w:noProof/>
            <w:sz w:val="24"/>
            <w:szCs w:val="24"/>
            <w:lang w:val="fi-FI" w:eastAsia="en-GB"/>
          </w:rPr>
          <w:tab/>
        </w:r>
        <w:r w:rsidRPr="00F74AD0">
          <w:rPr>
            <w:rStyle w:val="Hyperlink"/>
            <w:b/>
            <w:bCs/>
            <w:noProof/>
          </w:rPr>
          <w:t xml:space="preserve">For the two-way capability transfer procedure, in NR SL the sending of the </w:t>
        </w:r>
        <w:r w:rsidRPr="00F74AD0">
          <w:rPr>
            <w:rStyle w:val="Hyperlink"/>
            <w:b/>
            <w:bCs/>
            <w:i/>
            <w:iCs/>
            <w:noProof/>
          </w:rPr>
          <w:t>UECapabilityEnquiry</w:t>
        </w:r>
        <w:r w:rsidRPr="00F74AD0">
          <w:rPr>
            <w:rStyle w:val="Hyperlink"/>
            <w:b/>
            <w:bCs/>
            <w:noProof/>
          </w:rPr>
          <w:t xml:space="preserve"> and the </w:t>
        </w:r>
        <w:r w:rsidRPr="00F74AD0">
          <w:rPr>
            <w:rStyle w:val="Hyperlink"/>
            <w:b/>
            <w:bCs/>
            <w:i/>
            <w:iCs/>
            <w:noProof/>
          </w:rPr>
          <w:t>UECapabilityInformation</w:t>
        </w:r>
        <w:r w:rsidRPr="00F74AD0">
          <w:rPr>
            <w:rStyle w:val="Hyperlink"/>
            <w:b/>
            <w:bCs/>
            <w:noProof/>
          </w:rPr>
          <w:t xml:space="preserve"> in the same RRC message is supported.</w:t>
        </w:r>
      </w:hyperlink>
    </w:p>
    <w:p w14:paraId="5C2FBF93" w14:textId="766E89F6" w:rsidR="002D37C0" w:rsidRPr="00087FC6" w:rsidRDefault="002D37C0" w:rsidP="00201BEF">
      <w:pPr>
        <w:rPr>
          <w:rFonts w:cs="Arial"/>
        </w:rPr>
      </w:pPr>
      <w:r w:rsidRPr="00087FC6">
        <w:rPr>
          <w:rFonts w:cs="Arial"/>
          <w:b/>
        </w:rPr>
        <w:fldChar w:fldCharType="end"/>
      </w:r>
    </w:p>
    <w:p w14:paraId="777D98A4" w14:textId="165C9873" w:rsidR="00201BEF" w:rsidRPr="00087FC6" w:rsidRDefault="00201BEF" w:rsidP="00201BEF">
      <w:pPr>
        <w:rPr>
          <w:rFonts w:cs="Arial"/>
        </w:rPr>
      </w:pPr>
      <w:r w:rsidRPr="00087FC6">
        <w:rPr>
          <w:rFonts w:cs="Arial"/>
        </w:rPr>
        <w:t xml:space="preserve">Based on the discussion in section </w:t>
      </w:r>
      <w:r w:rsidRPr="00087FC6">
        <w:rPr>
          <w:rFonts w:cs="Arial"/>
        </w:rPr>
        <w:fldChar w:fldCharType="begin"/>
      </w:r>
      <w:r w:rsidRPr="00087FC6">
        <w:rPr>
          <w:rFonts w:cs="Arial"/>
        </w:rPr>
        <w:instrText xml:space="preserve"> REF _Ref490149211 \r \h </w:instrText>
      </w:r>
      <w:r w:rsidR="00FA1F66" w:rsidRPr="00087FC6">
        <w:rPr>
          <w:rFonts w:cs="Arial"/>
        </w:rPr>
        <w:instrText xml:space="preserve"> \* MERGEFORMAT </w:instrText>
      </w:r>
      <w:r w:rsidRPr="00087FC6">
        <w:rPr>
          <w:rFonts w:cs="Arial"/>
        </w:rPr>
      </w:r>
      <w:r w:rsidRPr="00087FC6">
        <w:rPr>
          <w:rFonts w:cs="Arial"/>
        </w:rPr>
        <w:fldChar w:fldCharType="separate"/>
      </w:r>
      <w:r w:rsidR="00442AAF" w:rsidRPr="00087FC6">
        <w:rPr>
          <w:rFonts w:cs="Arial"/>
        </w:rPr>
        <w:t>2</w:t>
      </w:r>
      <w:r w:rsidRPr="00087FC6">
        <w:rPr>
          <w:rFonts w:cs="Arial"/>
        </w:rPr>
        <w:fldChar w:fldCharType="end"/>
      </w:r>
      <w:r w:rsidRPr="00087FC6">
        <w:rPr>
          <w:rFonts w:cs="Arial"/>
        </w:rPr>
        <w:t xml:space="preserve"> we propose the following:</w:t>
      </w:r>
    </w:p>
    <w:p w14:paraId="7B5D5975" w14:textId="3FFBB6A3" w:rsidR="00F74AD0" w:rsidRDefault="002D37C0" w:rsidP="00F74AD0">
      <w:pPr>
        <w:pStyle w:val="TableofFigures"/>
        <w:tabs>
          <w:tab w:val="left" w:pos="1701"/>
          <w:tab w:val="right" w:leader="dot" w:pos="9629"/>
        </w:tabs>
        <w:ind w:left="1701" w:hanging="1701"/>
        <w:rPr>
          <w:rStyle w:val="Hyperlink"/>
          <w:b/>
          <w:bCs/>
          <w:noProof/>
        </w:rPr>
      </w:pPr>
      <w:r w:rsidRPr="00087FC6">
        <w:rPr>
          <w:rStyle w:val="Hyperlink"/>
          <w:b/>
          <w:noProof/>
        </w:rPr>
        <w:fldChar w:fldCharType="begin"/>
      </w:r>
      <w:r w:rsidRPr="00087FC6">
        <w:rPr>
          <w:rStyle w:val="Hyperlink"/>
          <w:b/>
          <w:noProof/>
        </w:rPr>
        <w:instrText xml:space="preserve"> TOC \n \h \z \t "Proposal" \c </w:instrText>
      </w:r>
      <w:r w:rsidRPr="00087FC6">
        <w:rPr>
          <w:rStyle w:val="Hyperlink"/>
          <w:b/>
          <w:noProof/>
        </w:rPr>
        <w:fldChar w:fldCharType="separate"/>
      </w:r>
      <w:hyperlink w:anchor="_Toc24061445" w:history="1">
        <w:r w:rsidR="00F74AD0" w:rsidRPr="00F74AD0">
          <w:rPr>
            <w:rStyle w:val="Hyperlink"/>
            <w:b/>
            <w:bCs/>
            <w:noProof/>
          </w:rPr>
          <w:t>Proposal 1</w:t>
        </w:r>
        <w:r w:rsidR="00F74AD0" w:rsidRPr="00F74AD0">
          <w:rPr>
            <w:rFonts w:asciiTheme="minorHAnsi" w:eastAsiaTheme="minorEastAsia" w:hAnsiTheme="minorHAnsi" w:cstheme="minorBidi"/>
            <w:b/>
            <w:bCs/>
            <w:noProof/>
            <w:sz w:val="24"/>
            <w:szCs w:val="24"/>
            <w:lang w:val="fi-FI" w:eastAsia="en-GB"/>
          </w:rPr>
          <w:tab/>
        </w:r>
        <w:r w:rsidR="00F74AD0" w:rsidRPr="00F74AD0">
          <w:rPr>
            <w:rStyle w:val="Hyperlink"/>
            <w:b/>
            <w:bCs/>
            <w:noProof/>
          </w:rPr>
          <w:t>For NR SL mode-1, the direct sending of the SL UEs capabilities by the network (if available on the network side) via dedicated RRC over the NR Uu is supported.</w:t>
        </w:r>
      </w:hyperlink>
    </w:p>
    <w:p w14:paraId="369A5DB6" w14:textId="77777777" w:rsidR="00F74AD0" w:rsidRPr="00F74AD0" w:rsidRDefault="00F74AD0" w:rsidP="00F74AD0">
      <w:pPr>
        <w:rPr>
          <w:rFonts w:eastAsiaTheme="minorEastAsia"/>
          <w:sz w:val="8"/>
          <w:szCs w:val="8"/>
        </w:rPr>
      </w:pPr>
    </w:p>
    <w:p w14:paraId="473DD431" w14:textId="4236FEF7" w:rsidR="00F74AD0" w:rsidRDefault="00F74AD0" w:rsidP="00F74AD0">
      <w:pPr>
        <w:pStyle w:val="TableofFigures"/>
        <w:tabs>
          <w:tab w:val="left" w:pos="1701"/>
          <w:tab w:val="right" w:leader="dot" w:pos="9629"/>
        </w:tabs>
        <w:ind w:left="1701" w:hanging="1701"/>
        <w:rPr>
          <w:rStyle w:val="Hyperlink"/>
          <w:b/>
          <w:bCs/>
          <w:noProof/>
        </w:rPr>
      </w:pPr>
      <w:hyperlink w:anchor="_Toc24061446" w:history="1">
        <w:r w:rsidRPr="00F74AD0">
          <w:rPr>
            <w:rStyle w:val="Hyperlink"/>
            <w:b/>
            <w:bCs/>
            <w:noProof/>
          </w:rPr>
          <w:t>Proposal 2</w:t>
        </w:r>
        <w:r w:rsidRPr="00F74AD0">
          <w:rPr>
            <w:rFonts w:asciiTheme="minorHAnsi" w:eastAsiaTheme="minorEastAsia" w:hAnsiTheme="minorHAnsi" w:cstheme="minorBidi"/>
            <w:b/>
            <w:bCs/>
            <w:noProof/>
            <w:sz w:val="24"/>
            <w:szCs w:val="24"/>
            <w:lang w:val="fi-FI" w:eastAsia="en-GB"/>
          </w:rPr>
          <w:tab/>
        </w:r>
        <w:r w:rsidRPr="00F74AD0">
          <w:rPr>
            <w:rStyle w:val="Hyperlink"/>
            <w:b/>
            <w:bCs/>
            <w:noProof/>
          </w:rPr>
          <w:t>It is up to UE implementation to choose which capability transfer procedure to use (i.e., two-way capability transfer procedure or send by network).</w:t>
        </w:r>
      </w:hyperlink>
    </w:p>
    <w:p w14:paraId="52E02E22" w14:textId="77777777" w:rsidR="00F74AD0" w:rsidRPr="00F74AD0" w:rsidRDefault="00F74AD0" w:rsidP="00F74AD0">
      <w:pPr>
        <w:rPr>
          <w:rFonts w:eastAsiaTheme="minorEastAsia"/>
          <w:sz w:val="8"/>
          <w:szCs w:val="8"/>
        </w:rPr>
      </w:pPr>
      <w:bookmarkStart w:id="9" w:name="_GoBack"/>
      <w:bookmarkEnd w:id="9"/>
    </w:p>
    <w:p w14:paraId="2A022ADA" w14:textId="77777777" w:rsidR="00F74AD0" w:rsidRPr="00F74AD0" w:rsidRDefault="00F74AD0" w:rsidP="00F74AD0">
      <w:pPr>
        <w:pStyle w:val="TableofFigures"/>
        <w:tabs>
          <w:tab w:val="left" w:pos="1701"/>
          <w:tab w:val="right" w:leader="dot" w:pos="9629"/>
        </w:tabs>
        <w:ind w:left="1701" w:hanging="1701"/>
        <w:rPr>
          <w:rFonts w:asciiTheme="minorHAnsi" w:eastAsiaTheme="minorEastAsia" w:hAnsiTheme="minorHAnsi" w:cstheme="minorBidi"/>
          <w:b/>
          <w:bCs/>
          <w:noProof/>
          <w:sz w:val="24"/>
          <w:szCs w:val="24"/>
          <w:lang w:val="fi-FI" w:eastAsia="en-GB"/>
        </w:rPr>
      </w:pPr>
      <w:hyperlink w:anchor="_Toc24061447" w:history="1">
        <w:r w:rsidRPr="00F74AD0">
          <w:rPr>
            <w:rStyle w:val="Hyperlink"/>
            <w:b/>
            <w:bCs/>
            <w:noProof/>
          </w:rPr>
          <w:t>Proposal 3</w:t>
        </w:r>
        <w:r w:rsidRPr="00F74AD0">
          <w:rPr>
            <w:rFonts w:asciiTheme="minorHAnsi" w:eastAsiaTheme="minorEastAsia" w:hAnsiTheme="minorHAnsi" w:cstheme="minorBidi"/>
            <w:b/>
            <w:bCs/>
            <w:noProof/>
            <w:sz w:val="24"/>
            <w:szCs w:val="24"/>
            <w:lang w:val="fi-FI" w:eastAsia="en-GB"/>
          </w:rPr>
          <w:tab/>
        </w:r>
        <w:r w:rsidRPr="00F74AD0">
          <w:rPr>
            <w:rStyle w:val="Hyperlink"/>
            <w:b/>
            <w:bCs/>
            <w:noProof/>
          </w:rPr>
          <w:t>RAN2 to define a new RRC processing time for the capability transfer in NR SL and to set the new processing time lower than 80ms (i.e., that is the value currently supported in NR Uu).</w:t>
        </w:r>
      </w:hyperlink>
    </w:p>
    <w:p w14:paraId="79512C45" w14:textId="3032B8E0" w:rsidR="002D37C0" w:rsidRPr="00087FC6" w:rsidRDefault="002D37C0" w:rsidP="00201BEF">
      <w:pPr>
        <w:rPr>
          <w:rFonts w:cs="Arial"/>
        </w:rPr>
      </w:pPr>
      <w:r w:rsidRPr="00087FC6">
        <w:rPr>
          <w:rStyle w:val="Hyperlink"/>
          <w:b/>
          <w:noProof/>
        </w:rPr>
        <w:fldChar w:fldCharType="end"/>
      </w:r>
    </w:p>
    <w:p w14:paraId="4D2BC573" w14:textId="77777777" w:rsidR="00201BEF" w:rsidRPr="007B3713" w:rsidRDefault="00201BEF" w:rsidP="00201BEF">
      <w:pPr>
        <w:pStyle w:val="Heading1"/>
      </w:pPr>
      <w:r w:rsidRPr="007B3713">
        <w:t>References</w:t>
      </w:r>
    </w:p>
    <w:p w14:paraId="426EA874" w14:textId="77777777" w:rsidR="007B3713" w:rsidRPr="007A6B98" w:rsidRDefault="007B3713" w:rsidP="00201BEF">
      <w:pPr>
        <w:rPr>
          <w:rFonts w:cs="Arial"/>
        </w:rPr>
      </w:pPr>
    </w:p>
    <w:p w14:paraId="750952A2" w14:textId="77777777" w:rsidR="00201BEF" w:rsidRPr="007A6B98" w:rsidRDefault="00201BEF" w:rsidP="00201BEF">
      <w:pPr>
        <w:rPr>
          <w:rFonts w:cs="Arial"/>
          <w:noProof/>
        </w:rPr>
      </w:pPr>
    </w:p>
    <w:p w14:paraId="518E062C" w14:textId="77777777" w:rsidR="00365053" w:rsidRPr="007A6B98" w:rsidRDefault="00365053">
      <w:pPr>
        <w:rPr>
          <w:rFonts w:cs="Arial"/>
        </w:rPr>
      </w:pPr>
    </w:p>
    <w:sectPr w:rsidR="00365053" w:rsidRPr="007A6B98">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88080" w14:textId="77777777" w:rsidR="00BB4239" w:rsidRDefault="00BB4239">
      <w:pPr>
        <w:spacing w:after="0"/>
      </w:pPr>
      <w:r>
        <w:separator/>
      </w:r>
    </w:p>
  </w:endnote>
  <w:endnote w:type="continuationSeparator" w:id="0">
    <w:p w14:paraId="378E3185" w14:textId="77777777" w:rsidR="00BB4239" w:rsidRDefault="00BB4239">
      <w:pPr>
        <w:spacing w:after="0"/>
      </w:pPr>
      <w:r>
        <w:continuationSeparator/>
      </w:r>
    </w:p>
  </w:endnote>
  <w:endnote w:type="continuationNotice" w:id="1">
    <w:p w14:paraId="7B5D529F" w14:textId="77777777" w:rsidR="00BB4239" w:rsidRDefault="00BB42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013DEC" w:rsidRDefault="00EC57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9F03A" w14:textId="77777777" w:rsidR="00BB4239" w:rsidRDefault="00BB4239">
      <w:pPr>
        <w:spacing w:after="0"/>
      </w:pPr>
      <w:r>
        <w:separator/>
      </w:r>
    </w:p>
  </w:footnote>
  <w:footnote w:type="continuationSeparator" w:id="0">
    <w:p w14:paraId="0911ACA4" w14:textId="77777777" w:rsidR="00BB4239" w:rsidRDefault="00BB4239">
      <w:pPr>
        <w:spacing w:after="0"/>
      </w:pPr>
      <w:r>
        <w:continuationSeparator/>
      </w:r>
    </w:p>
  </w:footnote>
  <w:footnote w:type="continuationNotice" w:id="1">
    <w:p w14:paraId="7CA6FCC9" w14:textId="77777777" w:rsidR="00BB4239" w:rsidRDefault="00BB42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013DEC" w:rsidRDefault="00EC5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5D0FF5E"/>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295B98"/>
    <w:multiLevelType w:val="hybridMultilevel"/>
    <w:tmpl w:val="4C4A2DDC"/>
    <w:lvl w:ilvl="0" w:tplc="DC9E4760">
      <w:start w:val="1"/>
      <w:numFmt w:val="bullet"/>
      <w:lvlText w:val="—"/>
      <w:lvlJc w:val="left"/>
      <w:pPr>
        <w:tabs>
          <w:tab w:val="num" w:pos="720"/>
        </w:tabs>
        <w:ind w:left="720" w:hanging="360"/>
      </w:pPr>
      <w:rPr>
        <w:rFonts w:ascii="Ericsson Hilda Light" w:hAnsi="Ericsson Hilda Light" w:hint="default"/>
      </w:rPr>
    </w:lvl>
    <w:lvl w:ilvl="1" w:tplc="A04E7FF0">
      <w:start w:val="31317"/>
      <w:numFmt w:val="bullet"/>
      <w:lvlText w:val="—"/>
      <w:lvlJc w:val="left"/>
      <w:pPr>
        <w:tabs>
          <w:tab w:val="num" w:pos="1440"/>
        </w:tabs>
        <w:ind w:left="1440" w:hanging="360"/>
      </w:pPr>
      <w:rPr>
        <w:rFonts w:ascii="Ericsson Hilda Light" w:hAnsi="Ericsson Hilda Light" w:hint="default"/>
      </w:rPr>
    </w:lvl>
    <w:lvl w:ilvl="2" w:tplc="AFB4087A" w:tentative="1">
      <w:start w:val="1"/>
      <w:numFmt w:val="bullet"/>
      <w:lvlText w:val="—"/>
      <w:lvlJc w:val="left"/>
      <w:pPr>
        <w:tabs>
          <w:tab w:val="num" w:pos="2160"/>
        </w:tabs>
        <w:ind w:left="2160" w:hanging="360"/>
      </w:pPr>
      <w:rPr>
        <w:rFonts w:ascii="Ericsson Hilda Light" w:hAnsi="Ericsson Hilda Light" w:hint="default"/>
      </w:rPr>
    </w:lvl>
    <w:lvl w:ilvl="3" w:tplc="9CB665A0" w:tentative="1">
      <w:start w:val="1"/>
      <w:numFmt w:val="bullet"/>
      <w:lvlText w:val="—"/>
      <w:lvlJc w:val="left"/>
      <w:pPr>
        <w:tabs>
          <w:tab w:val="num" w:pos="2880"/>
        </w:tabs>
        <w:ind w:left="2880" w:hanging="360"/>
      </w:pPr>
      <w:rPr>
        <w:rFonts w:ascii="Ericsson Hilda Light" w:hAnsi="Ericsson Hilda Light" w:hint="default"/>
      </w:rPr>
    </w:lvl>
    <w:lvl w:ilvl="4" w:tplc="4430505A" w:tentative="1">
      <w:start w:val="1"/>
      <w:numFmt w:val="bullet"/>
      <w:lvlText w:val="—"/>
      <w:lvlJc w:val="left"/>
      <w:pPr>
        <w:tabs>
          <w:tab w:val="num" w:pos="3600"/>
        </w:tabs>
        <w:ind w:left="3600" w:hanging="360"/>
      </w:pPr>
      <w:rPr>
        <w:rFonts w:ascii="Ericsson Hilda Light" w:hAnsi="Ericsson Hilda Light" w:hint="default"/>
      </w:rPr>
    </w:lvl>
    <w:lvl w:ilvl="5" w:tplc="0EE83A60" w:tentative="1">
      <w:start w:val="1"/>
      <w:numFmt w:val="bullet"/>
      <w:lvlText w:val="—"/>
      <w:lvlJc w:val="left"/>
      <w:pPr>
        <w:tabs>
          <w:tab w:val="num" w:pos="4320"/>
        </w:tabs>
        <w:ind w:left="4320" w:hanging="360"/>
      </w:pPr>
      <w:rPr>
        <w:rFonts w:ascii="Ericsson Hilda Light" w:hAnsi="Ericsson Hilda Light" w:hint="default"/>
      </w:rPr>
    </w:lvl>
    <w:lvl w:ilvl="6" w:tplc="D30058D0" w:tentative="1">
      <w:start w:val="1"/>
      <w:numFmt w:val="bullet"/>
      <w:lvlText w:val="—"/>
      <w:lvlJc w:val="left"/>
      <w:pPr>
        <w:tabs>
          <w:tab w:val="num" w:pos="5040"/>
        </w:tabs>
        <w:ind w:left="5040" w:hanging="360"/>
      </w:pPr>
      <w:rPr>
        <w:rFonts w:ascii="Ericsson Hilda Light" w:hAnsi="Ericsson Hilda Light" w:hint="default"/>
      </w:rPr>
    </w:lvl>
    <w:lvl w:ilvl="7" w:tplc="977CEFE4" w:tentative="1">
      <w:start w:val="1"/>
      <w:numFmt w:val="bullet"/>
      <w:lvlText w:val="—"/>
      <w:lvlJc w:val="left"/>
      <w:pPr>
        <w:tabs>
          <w:tab w:val="num" w:pos="5760"/>
        </w:tabs>
        <w:ind w:left="5760" w:hanging="360"/>
      </w:pPr>
      <w:rPr>
        <w:rFonts w:ascii="Ericsson Hilda Light" w:hAnsi="Ericsson Hilda Light" w:hint="default"/>
      </w:rPr>
    </w:lvl>
    <w:lvl w:ilvl="8" w:tplc="8C62EE0E" w:tentative="1">
      <w:start w:val="1"/>
      <w:numFmt w:val="bullet"/>
      <w:lvlText w:val="—"/>
      <w:lvlJc w:val="left"/>
      <w:pPr>
        <w:tabs>
          <w:tab w:val="num" w:pos="6480"/>
        </w:tabs>
        <w:ind w:left="6480" w:hanging="360"/>
      </w:pPr>
      <w:rPr>
        <w:rFonts w:ascii="Ericsson Hilda Light" w:hAnsi="Ericsson Hilda Light" w:hint="default"/>
      </w:rPr>
    </w:lvl>
  </w:abstractNum>
  <w:abstractNum w:abstractNumId="5"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3F39CE"/>
    <w:multiLevelType w:val="multilevel"/>
    <w:tmpl w:val="723F39C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780A57BA"/>
    <w:multiLevelType w:val="hybridMultilevel"/>
    <w:tmpl w:val="CFFEE89C"/>
    <w:lvl w:ilvl="0" w:tplc="006EF454">
      <w:start w:val="1"/>
      <w:numFmt w:val="decimal"/>
      <w:lvlText w:val="%1"/>
      <w:lvlJc w:val="left"/>
      <w:pPr>
        <w:ind w:left="1140" w:hanging="114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abstractNumId w:val="0"/>
  </w:num>
  <w:num w:numId="2">
    <w:abstractNumId w:val="2"/>
  </w:num>
  <w:num w:numId="3">
    <w:abstractNumId w:val="1"/>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6"/>
  </w:num>
  <w:num w:numId="8">
    <w:abstractNumId w:val="7"/>
  </w:num>
  <w:num w:numId="9">
    <w:abstractNumId w:val="1"/>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06EE"/>
    <w:rsid w:val="00003486"/>
    <w:rsid w:val="00003A8F"/>
    <w:rsid w:val="000060CC"/>
    <w:rsid w:val="000065E5"/>
    <w:rsid w:val="000066B3"/>
    <w:rsid w:val="00010ABA"/>
    <w:rsid w:val="00015A43"/>
    <w:rsid w:val="000223DA"/>
    <w:rsid w:val="00027197"/>
    <w:rsid w:val="000365C0"/>
    <w:rsid w:val="00037B64"/>
    <w:rsid w:val="00045FAE"/>
    <w:rsid w:val="000473BA"/>
    <w:rsid w:val="00047505"/>
    <w:rsid w:val="0005398C"/>
    <w:rsid w:val="00053C06"/>
    <w:rsid w:val="0005457F"/>
    <w:rsid w:val="00055E1E"/>
    <w:rsid w:val="00064550"/>
    <w:rsid w:val="00081EE4"/>
    <w:rsid w:val="00087262"/>
    <w:rsid w:val="00087FC6"/>
    <w:rsid w:val="00094C22"/>
    <w:rsid w:val="000A013B"/>
    <w:rsid w:val="000A4671"/>
    <w:rsid w:val="000B0674"/>
    <w:rsid w:val="000B3F18"/>
    <w:rsid w:val="000B5351"/>
    <w:rsid w:val="000C2A4B"/>
    <w:rsid w:val="000C4B11"/>
    <w:rsid w:val="000C56D1"/>
    <w:rsid w:val="000C6FB9"/>
    <w:rsid w:val="000D047F"/>
    <w:rsid w:val="000E4236"/>
    <w:rsid w:val="000F01EA"/>
    <w:rsid w:val="000F3FD3"/>
    <w:rsid w:val="000F52C2"/>
    <w:rsid w:val="000F6BF9"/>
    <w:rsid w:val="001026E0"/>
    <w:rsid w:val="00106980"/>
    <w:rsid w:val="00112161"/>
    <w:rsid w:val="00113404"/>
    <w:rsid w:val="0011718B"/>
    <w:rsid w:val="0012282C"/>
    <w:rsid w:val="00126103"/>
    <w:rsid w:val="00131F69"/>
    <w:rsid w:val="00137E5A"/>
    <w:rsid w:val="00140CF4"/>
    <w:rsid w:val="00143BCA"/>
    <w:rsid w:val="00143E55"/>
    <w:rsid w:val="00146D27"/>
    <w:rsid w:val="00153C43"/>
    <w:rsid w:val="0016584E"/>
    <w:rsid w:val="00172A65"/>
    <w:rsid w:val="001751C7"/>
    <w:rsid w:val="00181DD3"/>
    <w:rsid w:val="00186432"/>
    <w:rsid w:val="001908A6"/>
    <w:rsid w:val="00190E15"/>
    <w:rsid w:val="001922CA"/>
    <w:rsid w:val="00193590"/>
    <w:rsid w:val="001964AB"/>
    <w:rsid w:val="00196E03"/>
    <w:rsid w:val="00197051"/>
    <w:rsid w:val="001A434E"/>
    <w:rsid w:val="001A4B0B"/>
    <w:rsid w:val="001B0BF8"/>
    <w:rsid w:val="001B325C"/>
    <w:rsid w:val="001B4E6C"/>
    <w:rsid w:val="001B5E2F"/>
    <w:rsid w:val="001B60DA"/>
    <w:rsid w:val="001B642A"/>
    <w:rsid w:val="001C11C8"/>
    <w:rsid w:val="001C2838"/>
    <w:rsid w:val="001C61C3"/>
    <w:rsid w:val="001D255E"/>
    <w:rsid w:val="001D43DF"/>
    <w:rsid w:val="001D6E62"/>
    <w:rsid w:val="001D7289"/>
    <w:rsid w:val="001E1AA1"/>
    <w:rsid w:val="001E1E38"/>
    <w:rsid w:val="001E3125"/>
    <w:rsid w:val="001E6671"/>
    <w:rsid w:val="001F10F4"/>
    <w:rsid w:val="001F22F1"/>
    <w:rsid w:val="001F3977"/>
    <w:rsid w:val="001F4312"/>
    <w:rsid w:val="001F76FA"/>
    <w:rsid w:val="00201BEF"/>
    <w:rsid w:val="002051C4"/>
    <w:rsid w:val="00205754"/>
    <w:rsid w:val="00207089"/>
    <w:rsid w:val="00213960"/>
    <w:rsid w:val="0021493B"/>
    <w:rsid w:val="00214A83"/>
    <w:rsid w:val="0022146E"/>
    <w:rsid w:val="00227B92"/>
    <w:rsid w:val="00230867"/>
    <w:rsid w:val="00230B42"/>
    <w:rsid w:val="00232866"/>
    <w:rsid w:val="0023734B"/>
    <w:rsid w:val="0024218E"/>
    <w:rsid w:val="0024675E"/>
    <w:rsid w:val="002558B4"/>
    <w:rsid w:val="0027018A"/>
    <w:rsid w:val="002709F4"/>
    <w:rsid w:val="00270AA5"/>
    <w:rsid w:val="002740FC"/>
    <w:rsid w:val="002752FA"/>
    <w:rsid w:val="002822AB"/>
    <w:rsid w:val="002904E5"/>
    <w:rsid w:val="00291908"/>
    <w:rsid w:val="00295D34"/>
    <w:rsid w:val="00296F17"/>
    <w:rsid w:val="002A4476"/>
    <w:rsid w:val="002A4756"/>
    <w:rsid w:val="002B1009"/>
    <w:rsid w:val="002B2DEA"/>
    <w:rsid w:val="002B5485"/>
    <w:rsid w:val="002C031F"/>
    <w:rsid w:val="002C1193"/>
    <w:rsid w:val="002C7C54"/>
    <w:rsid w:val="002D31DA"/>
    <w:rsid w:val="002D37C0"/>
    <w:rsid w:val="002D682E"/>
    <w:rsid w:val="002D7F5F"/>
    <w:rsid w:val="002E05E4"/>
    <w:rsid w:val="002E099B"/>
    <w:rsid w:val="002E223F"/>
    <w:rsid w:val="002E6BE6"/>
    <w:rsid w:val="002E7172"/>
    <w:rsid w:val="002F306D"/>
    <w:rsid w:val="002F47C1"/>
    <w:rsid w:val="002F7A3C"/>
    <w:rsid w:val="00300DD2"/>
    <w:rsid w:val="00301A90"/>
    <w:rsid w:val="0030577C"/>
    <w:rsid w:val="0031028C"/>
    <w:rsid w:val="00311AF6"/>
    <w:rsid w:val="00311F1E"/>
    <w:rsid w:val="003166BB"/>
    <w:rsid w:val="00321881"/>
    <w:rsid w:val="00325E09"/>
    <w:rsid w:val="00326E0E"/>
    <w:rsid w:val="00327101"/>
    <w:rsid w:val="00330428"/>
    <w:rsid w:val="00335295"/>
    <w:rsid w:val="00340126"/>
    <w:rsid w:val="00340808"/>
    <w:rsid w:val="00340E3C"/>
    <w:rsid w:val="00341562"/>
    <w:rsid w:val="00341A0E"/>
    <w:rsid w:val="0034549C"/>
    <w:rsid w:val="00345792"/>
    <w:rsid w:val="00351ED6"/>
    <w:rsid w:val="0036046D"/>
    <w:rsid w:val="003612B0"/>
    <w:rsid w:val="00361B2C"/>
    <w:rsid w:val="0036311F"/>
    <w:rsid w:val="00365053"/>
    <w:rsid w:val="003667E8"/>
    <w:rsid w:val="0037352B"/>
    <w:rsid w:val="00373AB2"/>
    <w:rsid w:val="00377B7A"/>
    <w:rsid w:val="0038060D"/>
    <w:rsid w:val="0038632E"/>
    <w:rsid w:val="00393C65"/>
    <w:rsid w:val="00393D9C"/>
    <w:rsid w:val="0039653B"/>
    <w:rsid w:val="003A4708"/>
    <w:rsid w:val="003A789F"/>
    <w:rsid w:val="003B050D"/>
    <w:rsid w:val="003B6B34"/>
    <w:rsid w:val="003B7930"/>
    <w:rsid w:val="003B7A42"/>
    <w:rsid w:val="003C22DD"/>
    <w:rsid w:val="003C2573"/>
    <w:rsid w:val="003C3B3F"/>
    <w:rsid w:val="003C51F4"/>
    <w:rsid w:val="003C548B"/>
    <w:rsid w:val="003D2B44"/>
    <w:rsid w:val="003D3DC3"/>
    <w:rsid w:val="003D3FA3"/>
    <w:rsid w:val="003D5EBD"/>
    <w:rsid w:val="003D6839"/>
    <w:rsid w:val="003E005C"/>
    <w:rsid w:val="003E153B"/>
    <w:rsid w:val="003E565E"/>
    <w:rsid w:val="003F172E"/>
    <w:rsid w:val="003F35B7"/>
    <w:rsid w:val="003F5398"/>
    <w:rsid w:val="003F57AE"/>
    <w:rsid w:val="003F66B7"/>
    <w:rsid w:val="003F6C4B"/>
    <w:rsid w:val="0040430C"/>
    <w:rsid w:val="00411765"/>
    <w:rsid w:val="00414B2D"/>
    <w:rsid w:val="00420D26"/>
    <w:rsid w:val="00433EA7"/>
    <w:rsid w:val="00442AAF"/>
    <w:rsid w:val="00443BAE"/>
    <w:rsid w:val="00445476"/>
    <w:rsid w:val="00447F6B"/>
    <w:rsid w:val="00451AEB"/>
    <w:rsid w:val="00464390"/>
    <w:rsid w:val="00466F46"/>
    <w:rsid w:val="00470F0C"/>
    <w:rsid w:val="004729F9"/>
    <w:rsid w:val="00473B34"/>
    <w:rsid w:val="00475477"/>
    <w:rsid w:val="00475F8A"/>
    <w:rsid w:val="004775A1"/>
    <w:rsid w:val="004812A1"/>
    <w:rsid w:val="00483F68"/>
    <w:rsid w:val="00487578"/>
    <w:rsid w:val="00491917"/>
    <w:rsid w:val="00495273"/>
    <w:rsid w:val="0049532E"/>
    <w:rsid w:val="004A16A7"/>
    <w:rsid w:val="004A1A9D"/>
    <w:rsid w:val="004A4CC6"/>
    <w:rsid w:val="004A5BA0"/>
    <w:rsid w:val="004B0293"/>
    <w:rsid w:val="004B0832"/>
    <w:rsid w:val="004B0D6D"/>
    <w:rsid w:val="004B215C"/>
    <w:rsid w:val="004C06F5"/>
    <w:rsid w:val="004C0AE9"/>
    <w:rsid w:val="004C4D12"/>
    <w:rsid w:val="004D2EBF"/>
    <w:rsid w:val="004D37BB"/>
    <w:rsid w:val="004D4152"/>
    <w:rsid w:val="004D4601"/>
    <w:rsid w:val="004E13C4"/>
    <w:rsid w:val="004E1E0A"/>
    <w:rsid w:val="004E6926"/>
    <w:rsid w:val="004E751E"/>
    <w:rsid w:val="004F74AC"/>
    <w:rsid w:val="004F7A72"/>
    <w:rsid w:val="00503413"/>
    <w:rsid w:val="00503B26"/>
    <w:rsid w:val="0050609C"/>
    <w:rsid w:val="00507220"/>
    <w:rsid w:val="00511261"/>
    <w:rsid w:val="00511919"/>
    <w:rsid w:val="005157F9"/>
    <w:rsid w:val="00521824"/>
    <w:rsid w:val="00524C89"/>
    <w:rsid w:val="005268BB"/>
    <w:rsid w:val="00532919"/>
    <w:rsid w:val="00536A2E"/>
    <w:rsid w:val="00537284"/>
    <w:rsid w:val="00545D10"/>
    <w:rsid w:val="00551BD7"/>
    <w:rsid w:val="00551DAA"/>
    <w:rsid w:val="005521C5"/>
    <w:rsid w:val="00552D66"/>
    <w:rsid w:val="0055406A"/>
    <w:rsid w:val="0056732E"/>
    <w:rsid w:val="00580137"/>
    <w:rsid w:val="00582006"/>
    <w:rsid w:val="005861CF"/>
    <w:rsid w:val="00586414"/>
    <w:rsid w:val="00591123"/>
    <w:rsid w:val="00595042"/>
    <w:rsid w:val="00595E99"/>
    <w:rsid w:val="00596467"/>
    <w:rsid w:val="005A0014"/>
    <w:rsid w:val="005A41B4"/>
    <w:rsid w:val="005B1C2B"/>
    <w:rsid w:val="005B537E"/>
    <w:rsid w:val="005B53F2"/>
    <w:rsid w:val="005C3812"/>
    <w:rsid w:val="005C52AF"/>
    <w:rsid w:val="005D209C"/>
    <w:rsid w:val="005D39AC"/>
    <w:rsid w:val="005D3C0B"/>
    <w:rsid w:val="005D4495"/>
    <w:rsid w:val="005E3D86"/>
    <w:rsid w:val="005E7DF7"/>
    <w:rsid w:val="005F3107"/>
    <w:rsid w:val="005F3CD9"/>
    <w:rsid w:val="005F6293"/>
    <w:rsid w:val="005F6EAF"/>
    <w:rsid w:val="005F77DB"/>
    <w:rsid w:val="005F7BA5"/>
    <w:rsid w:val="005F7C81"/>
    <w:rsid w:val="005F7FDC"/>
    <w:rsid w:val="00600974"/>
    <w:rsid w:val="00600F88"/>
    <w:rsid w:val="00605BD4"/>
    <w:rsid w:val="00613A3A"/>
    <w:rsid w:val="00622D37"/>
    <w:rsid w:val="00624A27"/>
    <w:rsid w:val="0062631C"/>
    <w:rsid w:val="00626718"/>
    <w:rsid w:val="00627179"/>
    <w:rsid w:val="00641090"/>
    <w:rsid w:val="0064241A"/>
    <w:rsid w:val="0064422E"/>
    <w:rsid w:val="00645D90"/>
    <w:rsid w:val="00652C16"/>
    <w:rsid w:val="00654712"/>
    <w:rsid w:val="00655F62"/>
    <w:rsid w:val="0065674D"/>
    <w:rsid w:val="00656EF9"/>
    <w:rsid w:val="00662320"/>
    <w:rsid w:val="00677C14"/>
    <w:rsid w:val="0068309D"/>
    <w:rsid w:val="00684FD5"/>
    <w:rsid w:val="0068556D"/>
    <w:rsid w:val="00687DB5"/>
    <w:rsid w:val="00687F50"/>
    <w:rsid w:val="006945C7"/>
    <w:rsid w:val="00694F21"/>
    <w:rsid w:val="006968AF"/>
    <w:rsid w:val="00697412"/>
    <w:rsid w:val="0069798E"/>
    <w:rsid w:val="006A00F4"/>
    <w:rsid w:val="006A0688"/>
    <w:rsid w:val="006A0728"/>
    <w:rsid w:val="006A11A5"/>
    <w:rsid w:val="006A30B1"/>
    <w:rsid w:val="006A369D"/>
    <w:rsid w:val="006A3F21"/>
    <w:rsid w:val="006A4DB5"/>
    <w:rsid w:val="006A690A"/>
    <w:rsid w:val="006B1C91"/>
    <w:rsid w:val="006B20BB"/>
    <w:rsid w:val="006B2C74"/>
    <w:rsid w:val="006D2859"/>
    <w:rsid w:val="006D4BFA"/>
    <w:rsid w:val="006D7845"/>
    <w:rsid w:val="006E03BC"/>
    <w:rsid w:val="006E066D"/>
    <w:rsid w:val="006E06E4"/>
    <w:rsid w:val="006E1D67"/>
    <w:rsid w:val="006E4691"/>
    <w:rsid w:val="006E77C0"/>
    <w:rsid w:val="006E7FC2"/>
    <w:rsid w:val="006F0D34"/>
    <w:rsid w:val="006F1288"/>
    <w:rsid w:val="006F2AC8"/>
    <w:rsid w:val="006F4146"/>
    <w:rsid w:val="006F43C7"/>
    <w:rsid w:val="006F6F5D"/>
    <w:rsid w:val="006F7172"/>
    <w:rsid w:val="006F77E0"/>
    <w:rsid w:val="007022D5"/>
    <w:rsid w:val="00714B15"/>
    <w:rsid w:val="0072321C"/>
    <w:rsid w:val="0074165D"/>
    <w:rsid w:val="007512EC"/>
    <w:rsid w:val="00762976"/>
    <w:rsid w:val="0076395F"/>
    <w:rsid w:val="00763AAE"/>
    <w:rsid w:val="00765F68"/>
    <w:rsid w:val="00770152"/>
    <w:rsid w:val="00770759"/>
    <w:rsid w:val="00772DA4"/>
    <w:rsid w:val="00775C60"/>
    <w:rsid w:val="00775C65"/>
    <w:rsid w:val="00780988"/>
    <w:rsid w:val="00783DD0"/>
    <w:rsid w:val="0078406F"/>
    <w:rsid w:val="00784D1E"/>
    <w:rsid w:val="00785380"/>
    <w:rsid w:val="00785B51"/>
    <w:rsid w:val="00790435"/>
    <w:rsid w:val="007A06E4"/>
    <w:rsid w:val="007A0CE2"/>
    <w:rsid w:val="007A49CA"/>
    <w:rsid w:val="007A6B98"/>
    <w:rsid w:val="007B19A5"/>
    <w:rsid w:val="007B2593"/>
    <w:rsid w:val="007B33A6"/>
    <w:rsid w:val="007B3713"/>
    <w:rsid w:val="007B3F2D"/>
    <w:rsid w:val="007B5238"/>
    <w:rsid w:val="007B75EE"/>
    <w:rsid w:val="007C4FC6"/>
    <w:rsid w:val="007C7168"/>
    <w:rsid w:val="007D34EC"/>
    <w:rsid w:val="007D3D78"/>
    <w:rsid w:val="007D496F"/>
    <w:rsid w:val="007D4978"/>
    <w:rsid w:val="007E1470"/>
    <w:rsid w:val="007E37BA"/>
    <w:rsid w:val="007E472B"/>
    <w:rsid w:val="007E4A64"/>
    <w:rsid w:val="007F405B"/>
    <w:rsid w:val="007F473E"/>
    <w:rsid w:val="007F64BA"/>
    <w:rsid w:val="00800BFA"/>
    <w:rsid w:val="008016F4"/>
    <w:rsid w:val="008041CA"/>
    <w:rsid w:val="008047F3"/>
    <w:rsid w:val="00807676"/>
    <w:rsid w:val="0081407A"/>
    <w:rsid w:val="00814668"/>
    <w:rsid w:val="00820226"/>
    <w:rsid w:val="00820508"/>
    <w:rsid w:val="00825FC9"/>
    <w:rsid w:val="00831232"/>
    <w:rsid w:val="008352B3"/>
    <w:rsid w:val="00845E8B"/>
    <w:rsid w:val="0085097C"/>
    <w:rsid w:val="00851252"/>
    <w:rsid w:val="0085320C"/>
    <w:rsid w:val="00861D00"/>
    <w:rsid w:val="00862C33"/>
    <w:rsid w:val="008631D4"/>
    <w:rsid w:val="00866E48"/>
    <w:rsid w:val="00871D18"/>
    <w:rsid w:val="0088061E"/>
    <w:rsid w:val="00880CFA"/>
    <w:rsid w:val="00885312"/>
    <w:rsid w:val="00885DBE"/>
    <w:rsid w:val="008919E8"/>
    <w:rsid w:val="00893378"/>
    <w:rsid w:val="00895716"/>
    <w:rsid w:val="008A1457"/>
    <w:rsid w:val="008A15C8"/>
    <w:rsid w:val="008A48B3"/>
    <w:rsid w:val="008D1392"/>
    <w:rsid w:val="008D7EBC"/>
    <w:rsid w:val="008F0C4B"/>
    <w:rsid w:val="008F1EBB"/>
    <w:rsid w:val="008F2759"/>
    <w:rsid w:val="008F27C6"/>
    <w:rsid w:val="008F4901"/>
    <w:rsid w:val="008F77A6"/>
    <w:rsid w:val="00901FEE"/>
    <w:rsid w:val="00902512"/>
    <w:rsid w:val="0090388F"/>
    <w:rsid w:val="00904F2E"/>
    <w:rsid w:val="0090774F"/>
    <w:rsid w:val="00910E9F"/>
    <w:rsid w:val="00911F99"/>
    <w:rsid w:val="00917760"/>
    <w:rsid w:val="0092009D"/>
    <w:rsid w:val="00924336"/>
    <w:rsid w:val="009275C3"/>
    <w:rsid w:val="00935815"/>
    <w:rsid w:val="009375AD"/>
    <w:rsid w:val="00942658"/>
    <w:rsid w:val="0094538F"/>
    <w:rsid w:val="00950C57"/>
    <w:rsid w:val="00953E30"/>
    <w:rsid w:val="00955ED9"/>
    <w:rsid w:val="00974506"/>
    <w:rsid w:val="00977E21"/>
    <w:rsid w:val="00983A70"/>
    <w:rsid w:val="009844E3"/>
    <w:rsid w:val="009873E9"/>
    <w:rsid w:val="00987DBB"/>
    <w:rsid w:val="0099010C"/>
    <w:rsid w:val="00993DCB"/>
    <w:rsid w:val="009940F1"/>
    <w:rsid w:val="009B51C8"/>
    <w:rsid w:val="009B7A24"/>
    <w:rsid w:val="009C06A1"/>
    <w:rsid w:val="009D0FFE"/>
    <w:rsid w:val="009D7002"/>
    <w:rsid w:val="009D72EB"/>
    <w:rsid w:val="009E2CE9"/>
    <w:rsid w:val="009E30EF"/>
    <w:rsid w:val="009E3E6F"/>
    <w:rsid w:val="009E4C2E"/>
    <w:rsid w:val="009E783A"/>
    <w:rsid w:val="009F218F"/>
    <w:rsid w:val="009F52B9"/>
    <w:rsid w:val="00A01251"/>
    <w:rsid w:val="00A0130D"/>
    <w:rsid w:val="00A04450"/>
    <w:rsid w:val="00A129FE"/>
    <w:rsid w:val="00A20B11"/>
    <w:rsid w:val="00A21A55"/>
    <w:rsid w:val="00A22A33"/>
    <w:rsid w:val="00A31C11"/>
    <w:rsid w:val="00A36825"/>
    <w:rsid w:val="00A549A8"/>
    <w:rsid w:val="00A62F8A"/>
    <w:rsid w:val="00A64B2E"/>
    <w:rsid w:val="00A71315"/>
    <w:rsid w:val="00A76933"/>
    <w:rsid w:val="00A9104C"/>
    <w:rsid w:val="00A92121"/>
    <w:rsid w:val="00A94997"/>
    <w:rsid w:val="00AB1CDA"/>
    <w:rsid w:val="00AB1F90"/>
    <w:rsid w:val="00AB2A39"/>
    <w:rsid w:val="00AB4383"/>
    <w:rsid w:val="00AB5CD4"/>
    <w:rsid w:val="00AB6F4E"/>
    <w:rsid w:val="00AC0B86"/>
    <w:rsid w:val="00AC6069"/>
    <w:rsid w:val="00AC73E6"/>
    <w:rsid w:val="00AD05B8"/>
    <w:rsid w:val="00AD07DD"/>
    <w:rsid w:val="00AD3CB8"/>
    <w:rsid w:val="00AD46B7"/>
    <w:rsid w:val="00AD6488"/>
    <w:rsid w:val="00AF21C0"/>
    <w:rsid w:val="00AF40AC"/>
    <w:rsid w:val="00AF5498"/>
    <w:rsid w:val="00AF5EDE"/>
    <w:rsid w:val="00B024B0"/>
    <w:rsid w:val="00B02797"/>
    <w:rsid w:val="00B033F0"/>
    <w:rsid w:val="00B03B68"/>
    <w:rsid w:val="00B06D60"/>
    <w:rsid w:val="00B075D4"/>
    <w:rsid w:val="00B0773D"/>
    <w:rsid w:val="00B07C26"/>
    <w:rsid w:val="00B1247D"/>
    <w:rsid w:val="00B13741"/>
    <w:rsid w:val="00B16E3A"/>
    <w:rsid w:val="00B17DDB"/>
    <w:rsid w:val="00B2263D"/>
    <w:rsid w:val="00B23474"/>
    <w:rsid w:val="00B254FB"/>
    <w:rsid w:val="00B308CB"/>
    <w:rsid w:val="00B31856"/>
    <w:rsid w:val="00B324E8"/>
    <w:rsid w:val="00B32F7F"/>
    <w:rsid w:val="00B351B3"/>
    <w:rsid w:val="00B35BC4"/>
    <w:rsid w:val="00B51159"/>
    <w:rsid w:val="00B71F9D"/>
    <w:rsid w:val="00B72B45"/>
    <w:rsid w:val="00B7654F"/>
    <w:rsid w:val="00B80963"/>
    <w:rsid w:val="00B83921"/>
    <w:rsid w:val="00B84E63"/>
    <w:rsid w:val="00B8537D"/>
    <w:rsid w:val="00B85D88"/>
    <w:rsid w:val="00B871DC"/>
    <w:rsid w:val="00B91DC6"/>
    <w:rsid w:val="00B93622"/>
    <w:rsid w:val="00BA1E27"/>
    <w:rsid w:val="00BA2338"/>
    <w:rsid w:val="00BA698C"/>
    <w:rsid w:val="00BB1A18"/>
    <w:rsid w:val="00BB26F7"/>
    <w:rsid w:val="00BB2CAF"/>
    <w:rsid w:val="00BB4239"/>
    <w:rsid w:val="00BB55D5"/>
    <w:rsid w:val="00BB7D88"/>
    <w:rsid w:val="00BC1333"/>
    <w:rsid w:val="00BC46D6"/>
    <w:rsid w:val="00BC6250"/>
    <w:rsid w:val="00BD04E2"/>
    <w:rsid w:val="00BD061E"/>
    <w:rsid w:val="00BD4AB9"/>
    <w:rsid w:val="00BD4FE2"/>
    <w:rsid w:val="00BD5FBD"/>
    <w:rsid w:val="00BD79F3"/>
    <w:rsid w:val="00BE4695"/>
    <w:rsid w:val="00BE5568"/>
    <w:rsid w:val="00BE565A"/>
    <w:rsid w:val="00BE5DDD"/>
    <w:rsid w:val="00BE64A4"/>
    <w:rsid w:val="00BE787F"/>
    <w:rsid w:val="00C079FF"/>
    <w:rsid w:val="00C122FF"/>
    <w:rsid w:val="00C130BE"/>
    <w:rsid w:val="00C14AEB"/>
    <w:rsid w:val="00C14C6E"/>
    <w:rsid w:val="00C154DE"/>
    <w:rsid w:val="00C15F87"/>
    <w:rsid w:val="00C21CA1"/>
    <w:rsid w:val="00C26933"/>
    <w:rsid w:val="00C312F2"/>
    <w:rsid w:val="00C3259E"/>
    <w:rsid w:val="00C325DD"/>
    <w:rsid w:val="00C37DC0"/>
    <w:rsid w:val="00C412BB"/>
    <w:rsid w:val="00C4479E"/>
    <w:rsid w:val="00C53EF2"/>
    <w:rsid w:val="00C53FD0"/>
    <w:rsid w:val="00C55173"/>
    <w:rsid w:val="00C60A93"/>
    <w:rsid w:val="00C618F2"/>
    <w:rsid w:val="00C61F19"/>
    <w:rsid w:val="00C62BD7"/>
    <w:rsid w:val="00C64025"/>
    <w:rsid w:val="00C65FA6"/>
    <w:rsid w:val="00C7241D"/>
    <w:rsid w:val="00C72D77"/>
    <w:rsid w:val="00C847F0"/>
    <w:rsid w:val="00C91C8F"/>
    <w:rsid w:val="00C94CA5"/>
    <w:rsid w:val="00C97A33"/>
    <w:rsid w:val="00C97B29"/>
    <w:rsid w:val="00CA2B12"/>
    <w:rsid w:val="00CA410F"/>
    <w:rsid w:val="00CA54AD"/>
    <w:rsid w:val="00CA5B56"/>
    <w:rsid w:val="00CB2AAE"/>
    <w:rsid w:val="00CB3BD8"/>
    <w:rsid w:val="00CC1FD7"/>
    <w:rsid w:val="00CC2735"/>
    <w:rsid w:val="00CD266B"/>
    <w:rsid w:val="00CD7124"/>
    <w:rsid w:val="00CD7B4F"/>
    <w:rsid w:val="00CF1131"/>
    <w:rsid w:val="00CF7586"/>
    <w:rsid w:val="00D01564"/>
    <w:rsid w:val="00D01FB7"/>
    <w:rsid w:val="00D03BDA"/>
    <w:rsid w:val="00D03BEB"/>
    <w:rsid w:val="00D06D1A"/>
    <w:rsid w:val="00D13C3B"/>
    <w:rsid w:val="00D173B0"/>
    <w:rsid w:val="00D23965"/>
    <w:rsid w:val="00D3050B"/>
    <w:rsid w:val="00D30B19"/>
    <w:rsid w:val="00D35A57"/>
    <w:rsid w:val="00D371AC"/>
    <w:rsid w:val="00D40C08"/>
    <w:rsid w:val="00D45365"/>
    <w:rsid w:val="00D5078D"/>
    <w:rsid w:val="00D53773"/>
    <w:rsid w:val="00D5583E"/>
    <w:rsid w:val="00D56FB0"/>
    <w:rsid w:val="00D62A7E"/>
    <w:rsid w:val="00D755D0"/>
    <w:rsid w:val="00D82292"/>
    <w:rsid w:val="00D83648"/>
    <w:rsid w:val="00D8615D"/>
    <w:rsid w:val="00D86D7D"/>
    <w:rsid w:val="00D93B81"/>
    <w:rsid w:val="00D94CA7"/>
    <w:rsid w:val="00DA014C"/>
    <w:rsid w:val="00DA298E"/>
    <w:rsid w:val="00DA64B9"/>
    <w:rsid w:val="00DC4C1E"/>
    <w:rsid w:val="00DD5CFB"/>
    <w:rsid w:val="00DD747C"/>
    <w:rsid w:val="00DE0A84"/>
    <w:rsid w:val="00DE1F57"/>
    <w:rsid w:val="00DF3022"/>
    <w:rsid w:val="00DF7CE6"/>
    <w:rsid w:val="00E02008"/>
    <w:rsid w:val="00E0300A"/>
    <w:rsid w:val="00E05E85"/>
    <w:rsid w:val="00E14164"/>
    <w:rsid w:val="00E1552B"/>
    <w:rsid w:val="00E15EBC"/>
    <w:rsid w:val="00E1697D"/>
    <w:rsid w:val="00E17DD2"/>
    <w:rsid w:val="00E24B52"/>
    <w:rsid w:val="00E37B61"/>
    <w:rsid w:val="00E407E9"/>
    <w:rsid w:val="00E451C5"/>
    <w:rsid w:val="00E475BC"/>
    <w:rsid w:val="00E50705"/>
    <w:rsid w:val="00E55A46"/>
    <w:rsid w:val="00E55D70"/>
    <w:rsid w:val="00E60A21"/>
    <w:rsid w:val="00E65E6F"/>
    <w:rsid w:val="00E67B29"/>
    <w:rsid w:val="00E7100D"/>
    <w:rsid w:val="00E7224A"/>
    <w:rsid w:val="00E87BD8"/>
    <w:rsid w:val="00E9347F"/>
    <w:rsid w:val="00E942DB"/>
    <w:rsid w:val="00EA2010"/>
    <w:rsid w:val="00EB16FE"/>
    <w:rsid w:val="00EB425D"/>
    <w:rsid w:val="00EC4A80"/>
    <w:rsid w:val="00EC5010"/>
    <w:rsid w:val="00EC57CC"/>
    <w:rsid w:val="00EC5E9A"/>
    <w:rsid w:val="00EC67B9"/>
    <w:rsid w:val="00ED402C"/>
    <w:rsid w:val="00ED7926"/>
    <w:rsid w:val="00ED799E"/>
    <w:rsid w:val="00EE1484"/>
    <w:rsid w:val="00EE3D43"/>
    <w:rsid w:val="00EF04C2"/>
    <w:rsid w:val="00EF0808"/>
    <w:rsid w:val="00EF16A2"/>
    <w:rsid w:val="00EF1863"/>
    <w:rsid w:val="00EF24C2"/>
    <w:rsid w:val="00EF77A3"/>
    <w:rsid w:val="00EF7F55"/>
    <w:rsid w:val="00F022AD"/>
    <w:rsid w:val="00F044F8"/>
    <w:rsid w:val="00F05239"/>
    <w:rsid w:val="00F11414"/>
    <w:rsid w:val="00F139EA"/>
    <w:rsid w:val="00F161B7"/>
    <w:rsid w:val="00F252A8"/>
    <w:rsid w:val="00F270BC"/>
    <w:rsid w:val="00F27DD5"/>
    <w:rsid w:val="00F3519B"/>
    <w:rsid w:val="00F364DD"/>
    <w:rsid w:val="00F37346"/>
    <w:rsid w:val="00F37EE5"/>
    <w:rsid w:val="00F44361"/>
    <w:rsid w:val="00F455AA"/>
    <w:rsid w:val="00F4681D"/>
    <w:rsid w:val="00F54E11"/>
    <w:rsid w:val="00F55148"/>
    <w:rsid w:val="00F621C7"/>
    <w:rsid w:val="00F73BE8"/>
    <w:rsid w:val="00F74AD0"/>
    <w:rsid w:val="00F7595B"/>
    <w:rsid w:val="00F80270"/>
    <w:rsid w:val="00F802BD"/>
    <w:rsid w:val="00F84E5B"/>
    <w:rsid w:val="00F86D33"/>
    <w:rsid w:val="00F90517"/>
    <w:rsid w:val="00F914D8"/>
    <w:rsid w:val="00F939F1"/>
    <w:rsid w:val="00F96D48"/>
    <w:rsid w:val="00FA1F66"/>
    <w:rsid w:val="00FA2ECB"/>
    <w:rsid w:val="00FA490B"/>
    <w:rsid w:val="00FA4C88"/>
    <w:rsid w:val="00FA57F9"/>
    <w:rsid w:val="00FA624E"/>
    <w:rsid w:val="00FB0340"/>
    <w:rsid w:val="00FB391E"/>
    <w:rsid w:val="00FC14C5"/>
    <w:rsid w:val="00FC2B70"/>
    <w:rsid w:val="00FC447D"/>
    <w:rsid w:val="00FC455B"/>
    <w:rsid w:val="00FC470E"/>
    <w:rsid w:val="00FD0653"/>
    <w:rsid w:val="00FD0811"/>
    <w:rsid w:val="00FD0B96"/>
    <w:rsid w:val="00FD26F3"/>
    <w:rsid w:val="00FD3783"/>
    <w:rsid w:val="00FD523E"/>
    <w:rsid w:val="00FD5C23"/>
    <w:rsid w:val="00FD7050"/>
    <w:rsid w:val="00FE71C3"/>
    <w:rsid w:val="00FF1462"/>
    <w:rsid w:val="00FF25EA"/>
    <w:rsid w:val="00FF32DA"/>
    <w:rsid w:val="00FF3866"/>
    <w:rsid w:val="00FF465A"/>
    <w:rsid w:val="00FF4904"/>
    <w:rsid w:val="00FF4E61"/>
    <w:rsid w:val="00FF5C7A"/>
    <w:rsid w:val="00FF7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AC8B"/>
  <w15:chartTrackingRefBased/>
  <w15:docId w15:val="{F69B4A57-8E3C-4E38-9179-F6151B571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left" w:pos="1701"/>
      </w:tabs>
    </w:pPr>
    <w:rPr>
      <w:b/>
      <w:bCs/>
    </w:rPr>
  </w:style>
  <w:style w:type="paragraph" w:customStyle="1" w:styleId="Observation">
    <w:name w:val="Observation"/>
    <w:basedOn w:val="Proposal"/>
    <w:qFormat/>
    <w:rsid w:val="00201BEF"/>
    <w:pPr>
      <w:numPr>
        <w:numId w:val="4"/>
      </w:numPr>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01BEF"/>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01BEF"/>
    <w:rPr>
      <w:rFonts w:ascii="Arial" w:eastAsia="Times New Roman" w:hAnsi="Arial" w:cs="Times New Roman"/>
      <w:sz w:val="20"/>
      <w:szCs w:val="20"/>
      <w:lang w:val="en-GB"/>
    </w:rPr>
  </w:style>
  <w:style w:type="character" w:styleId="CommentReference">
    <w:name w:val="annotation reference"/>
    <w:semiHidden/>
    <w:rsid w:val="00987DBB"/>
    <w:rPr>
      <w:sz w:val="16"/>
      <w:szCs w:val="16"/>
    </w:rPr>
  </w:style>
  <w:style w:type="paragraph" w:styleId="CommentText">
    <w:name w:val="annotation text"/>
    <w:basedOn w:val="Normal"/>
    <w:link w:val="CommentTextChar"/>
    <w:semiHidden/>
    <w:rsid w:val="00987DBB"/>
  </w:style>
  <w:style w:type="character" w:customStyle="1" w:styleId="CommentTextChar">
    <w:name w:val="Comment Text Char"/>
    <w:basedOn w:val="DefaultParagraphFont"/>
    <w:link w:val="CommentText"/>
    <w:semiHidden/>
    <w:rsid w:val="00987DB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87D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DBB"/>
    <w:rPr>
      <w:rFonts w:ascii="Segoe UI" w:eastAsia="Times New Roman" w:hAnsi="Segoe UI" w:cs="Segoe UI"/>
      <w:sz w:val="18"/>
      <w:szCs w:val="18"/>
      <w:lang w:val="en-GB"/>
    </w:rPr>
  </w:style>
  <w:style w:type="table" w:styleId="TableGrid">
    <w:name w:val="Table Grid"/>
    <w:basedOn w:val="TableNormal"/>
    <w:uiPriority w:val="39"/>
    <w:rsid w:val="00E55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91908"/>
    <w:rPr>
      <w:b/>
      <w:bCs/>
    </w:rPr>
  </w:style>
  <w:style w:type="character" w:customStyle="1" w:styleId="CommentSubjectChar">
    <w:name w:val="Comment Subject Char"/>
    <w:basedOn w:val="CommentTextChar"/>
    <w:link w:val="CommentSubject"/>
    <w:uiPriority w:val="99"/>
    <w:semiHidden/>
    <w:rsid w:val="00291908"/>
    <w:rPr>
      <w:rFonts w:ascii="Arial" w:eastAsia="Times New Roman" w:hAnsi="Arial" w:cs="Times New Roman"/>
      <w:b/>
      <w:bCs/>
      <w:sz w:val="20"/>
      <w:szCs w:val="20"/>
      <w:lang w:val="en-GB"/>
    </w:rPr>
  </w:style>
  <w:style w:type="character" w:styleId="Hyperlink">
    <w:name w:val="Hyperlink"/>
    <w:basedOn w:val="DefaultParagraphFont"/>
    <w:uiPriority w:val="99"/>
    <w:unhideWhenUsed/>
    <w:rsid w:val="002D37C0"/>
    <w:rPr>
      <w:color w:val="0563C1" w:themeColor="hyperlink"/>
      <w:u w:val="single"/>
    </w:rPr>
  </w:style>
  <w:style w:type="paragraph" w:styleId="TableofFigures">
    <w:name w:val="table of figures"/>
    <w:basedOn w:val="Normal"/>
    <w:next w:val="Normal"/>
    <w:uiPriority w:val="99"/>
    <w:unhideWhenUsed/>
    <w:rsid w:val="002D37C0"/>
    <w:pPr>
      <w:spacing w:after="0"/>
    </w:pPr>
  </w:style>
  <w:style w:type="paragraph" w:styleId="Caption">
    <w:name w:val="caption"/>
    <w:basedOn w:val="Normal"/>
    <w:next w:val="Normal"/>
    <w:uiPriority w:val="35"/>
    <w:unhideWhenUsed/>
    <w:qFormat/>
    <w:rsid w:val="00B02797"/>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5638993">
      <w:bodyDiv w:val="1"/>
      <w:marLeft w:val="0"/>
      <w:marRight w:val="0"/>
      <w:marTop w:val="0"/>
      <w:marBottom w:val="0"/>
      <w:divBdr>
        <w:top w:val="none" w:sz="0" w:space="0" w:color="auto"/>
        <w:left w:val="none" w:sz="0" w:space="0" w:color="auto"/>
        <w:bottom w:val="none" w:sz="0" w:space="0" w:color="auto"/>
        <w:right w:val="none" w:sz="0" w:space="0" w:color="auto"/>
      </w:divBdr>
      <w:divsChild>
        <w:div w:id="1119646656">
          <w:marLeft w:val="547"/>
          <w:marRight w:val="0"/>
          <w:marTop w:val="60"/>
          <w:marBottom w:val="0"/>
          <w:divBdr>
            <w:top w:val="none" w:sz="0" w:space="0" w:color="auto"/>
            <w:left w:val="none" w:sz="0" w:space="0" w:color="auto"/>
            <w:bottom w:val="none" w:sz="0" w:space="0" w:color="auto"/>
            <w:right w:val="none" w:sz="0" w:space="0" w:color="auto"/>
          </w:divBdr>
        </w:div>
        <w:div w:id="265619756">
          <w:marLeft w:val="547"/>
          <w:marRight w:val="0"/>
          <w:marTop w:val="60"/>
          <w:marBottom w:val="0"/>
          <w:divBdr>
            <w:top w:val="none" w:sz="0" w:space="0" w:color="auto"/>
            <w:left w:val="none" w:sz="0" w:space="0" w:color="auto"/>
            <w:bottom w:val="none" w:sz="0" w:space="0" w:color="auto"/>
            <w:right w:val="none" w:sz="0" w:space="0" w:color="auto"/>
          </w:divBdr>
        </w:div>
        <w:div w:id="1592200452">
          <w:marLeft w:val="547"/>
          <w:marRight w:val="0"/>
          <w:marTop w:val="60"/>
          <w:marBottom w:val="0"/>
          <w:divBdr>
            <w:top w:val="none" w:sz="0" w:space="0" w:color="auto"/>
            <w:left w:val="none" w:sz="0" w:space="0" w:color="auto"/>
            <w:bottom w:val="none" w:sz="0" w:space="0" w:color="auto"/>
            <w:right w:val="none" w:sz="0" w:space="0" w:color="auto"/>
          </w:divBdr>
        </w:div>
        <w:div w:id="731654839">
          <w:marLeft w:val="1123"/>
          <w:marRight w:val="0"/>
          <w:marTop w:val="60"/>
          <w:marBottom w:val="0"/>
          <w:divBdr>
            <w:top w:val="none" w:sz="0" w:space="0" w:color="auto"/>
            <w:left w:val="none" w:sz="0" w:space="0" w:color="auto"/>
            <w:bottom w:val="none" w:sz="0" w:space="0" w:color="auto"/>
            <w:right w:val="none" w:sz="0" w:space="0" w:color="auto"/>
          </w:divBdr>
        </w:div>
        <w:div w:id="1808474381">
          <w:marLeft w:val="547"/>
          <w:marRight w:val="0"/>
          <w:marTop w:val="60"/>
          <w:marBottom w:val="0"/>
          <w:divBdr>
            <w:top w:val="none" w:sz="0" w:space="0" w:color="auto"/>
            <w:left w:val="none" w:sz="0" w:space="0" w:color="auto"/>
            <w:bottom w:val="none" w:sz="0" w:space="0" w:color="auto"/>
            <w:right w:val="none" w:sz="0" w:space="0" w:color="auto"/>
          </w:divBdr>
        </w:div>
        <w:div w:id="1106383717">
          <w:marLeft w:val="547"/>
          <w:marRight w:val="0"/>
          <w:marTop w:val="60"/>
          <w:marBottom w:val="0"/>
          <w:divBdr>
            <w:top w:val="none" w:sz="0" w:space="0" w:color="auto"/>
            <w:left w:val="none" w:sz="0" w:space="0" w:color="auto"/>
            <w:bottom w:val="none" w:sz="0" w:space="0" w:color="auto"/>
            <w:right w:val="none" w:sz="0" w:space="0" w:color="auto"/>
          </w:divBdr>
        </w:div>
        <w:div w:id="1875076437">
          <w:marLeft w:val="547"/>
          <w:marRight w:val="0"/>
          <w:marTop w:val="60"/>
          <w:marBottom w:val="0"/>
          <w:divBdr>
            <w:top w:val="none" w:sz="0" w:space="0" w:color="auto"/>
            <w:left w:val="none" w:sz="0" w:space="0" w:color="auto"/>
            <w:bottom w:val="none" w:sz="0" w:space="0" w:color="auto"/>
            <w:right w:val="none" w:sz="0" w:space="0" w:color="auto"/>
          </w:divBdr>
        </w:div>
        <w:div w:id="178205205">
          <w:marLeft w:val="547"/>
          <w:marRight w:val="0"/>
          <w:marTop w:val="60"/>
          <w:marBottom w:val="0"/>
          <w:divBdr>
            <w:top w:val="none" w:sz="0" w:space="0" w:color="auto"/>
            <w:left w:val="none" w:sz="0" w:space="0" w:color="auto"/>
            <w:bottom w:val="none" w:sz="0" w:space="0" w:color="auto"/>
            <w:right w:val="none" w:sz="0" w:space="0" w:color="auto"/>
          </w:divBdr>
        </w:div>
        <w:div w:id="1109548222">
          <w:marLeft w:val="1123"/>
          <w:marRight w:val="0"/>
          <w:marTop w:val="60"/>
          <w:marBottom w:val="0"/>
          <w:divBdr>
            <w:top w:val="none" w:sz="0" w:space="0" w:color="auto"/>
            <w:left w:val="none" w:sz="0" w:space="0" w:color="auto"/>
            <w:bottom w:val="none" w:sz="0" w:space="0" w:color="auto"/>
            <w:right w:val="none" w:sz="0" w:space="0" w:color="auto"/>
          </w:divBdr>
        </w:div>
        <w:div w:id="1446461970">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92514EBE-D0A5-4975-ABD4-61C4CA013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36FA81-259D-40C4-8876-4BE945B9617A}">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3.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4.xml><?xml version="1.0" encoding="utf-8"?>
<ds:datastoreItem xmlns:ds="http://schemas.openxmlformats.org/officeDocument/2006/customXml" ds:itemID="{AD9E7777-3591-B74A-B25C-96CC1AA14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958</Words>
  <Characters>5462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6408</CharactersWithSpaces>
  <SharedDoc>false</SharedDoc>
  <HLinks>
    <vt:vector size="54" baseType="variant">
      <vt:variant>
        <vt:i4>1114169</vt:i4>
      </vt:variant>
      <vt:variant>
        <vt:i4>35</vt:i4>
      </vt:variant>
      <vt:variant>
        <vt:i4>0</vt:i4>
      </vt:variant>
      <vt:variant>
        <vt:i4>5</vt:i4>
      </vt:variant>
      <vt:variant>
        <vt:lpwstr/>
      </vt:variant>
      <vt:variant>
        <vt:lpwstr>_Toc16509242</vt:lpwstr>
      </vt:variant>
      <vt:variant>
        <vt:i4>1179705</vt:i4>
      </vt:variant>
      <vt:variant>
        <vt:i4>32</vt:i4>
      </vt:variant>
      <vt:variant>
        <vt:i4>0</vt:i4>
      </vt:variant>
      <vt:variant>
        <vt:i4>5</vt:i4>
      </vt:variant>
      <vt:variant>
        <vt:lpwstr/>
      </vt:variant>
      <vt:variant>
        <vt:lpwstr>_Toc16509241</vt:lpwstr>
      </vt:variant>
      <vt:variant>
        <vt:i4>1245241</vt:i4>
      </vt:variant>
      <vt:variant>
        <vt:i4>29</vt:i4>
      </vt:variant>
      <vt:variant>
        <vt:i4>0</vt:i4>
      </vt:variant>
      <vt:variant>
        <vt:i4>5</vt:i4>
      </vt:variant>
      <vt:variant>
        <vt:lpwstr/>
      </vt:variant>
      <vt:variant>
        <vt:lpwstr>_Toc16509240</vt:lpwstr>
      </vt:variant>
      <vt:variant>
        <vt:i4>1703998</vt:i4>
      </vt:variant>
      <vt:variant>
        <vt:i4>26</vt:i4>
      </vt:variant>
      <vt:variant>
        <vt:i4>0</vt:i4>
      </vt:variant>
      <vt:variant>
        <vt:i4>5</vt:i4>
      </vt:variant>
      <vt:variant>
        <vt:lpwstr/>
      </vt:variant>
      <vt:variant>
        <vt:lpwstr>_Toc16509239</vt:lpwstr>
      </vt:variant>
      <vt:variant>
        <vt:i4>1769534</vt:i4>
      </vt:variant>
      <vt:variant>
        <vt:i4>23</vt:i4>
      </vt:variant>
      <vt:variant>
        <vt:i4>0</vt:i4>
      </vt:variant>
      <vt:variant>
        <vt:i4>5</vt:i4>
      </vt:variant>
      <vt:variant>
        <vt:lpwstr/>
      </vt:variant>
      <vt:variant>
        <vt:lpwstr>_Toc16509238</vt:lpwstr>
      </vt:variant>
      <vt:variant>
        <vt:i4>1310782</vt:i4>
      </vt:variant>
      <vt:variant>
        <vt:i4>14</vt:i4>
      </vt:variant>
      <vt:variant>
        <vt:i4>0</vt:i4>
      </vt:variant>
      <vt:variant>
        <vt:i4>5</vt:i4>
      </vt:variant>
      <vt:variant>
        <vt:lpwstr/>
      </vt:variant>
      <vt:variant>
        <vt:lpwstr>_Toc16509237</vt:lpwstr>
      </vt:variant>
      <vt:variant>
        <vt:i4>1376318</vt:i4>
      </vt:variant>
      <vt:variant>
        <vt:i4>11</vt:i4>
      </vt:variant>
      <vt:variant>
        <vt:i4>0</vt:i4>
      </vt:variant>
      <vt:variant>
        <vt:i4>5</vt:i4>
      </vt:variant>
      <vt:variant>
        <vt:lpwstr/>
      </vt:variant>
      <vt:variant>
        <vt:lpwstr>_Toc16509236</vt:lpwstr>
      </vt:variant>
      <vt:variant>
        <vt:i4>1441854</vt:i4>
      </vt:variant>
      <vt:variant>
        <vt:i4>8</vt:i4>
      </vt:variant>
      <vt:variant>
        <vt:i4>0</vt:i4>
      </vt:variant>
      <vt:variant>
        <vt:i4>5</vt:i4>
      </vt:variant>
      <vt:variant>
        <vt:lpwstr/>
      </vt:variant>
      <vt:variant>
        <vt:lpwstr>_Toc16509235</vt:lpwstr>
      </vt:variant>
      <vt:variant>
        <vt:i4>1507390</vt:i4>
      </vt:variant>
      <vt:variant>
        <vt:i4>5</vt:i4>
      </vt:variant>
      <vt:variant>
        <vt:i4>0</vt:i4>
      </vt:variant>
      <vt:variant>
        <vt:i4>5</vt:i4>
      </vt:variant>
      <vt:variant>
        <vt:lpwstr/>
      </vt:variant>
      <vt:variant>
        <vt:lpwstr>_Toc16509234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47</cp:revision>
  <dcterms:created xsi:type="dcterms:W3CDTF">2019-08-12T10:34:00Z</dcterms:created>
  <dcterms:modified xsi:type="dcterms:W3CDTF">2019-11-07T21:24:00Z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39c5bee2-837f-4249-9f5b-0ac1e228e4df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3102100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uthorIds_UIVersion_18432">
    <vt:lpwstr>24</vt:lpwstr>
  </property>
  <property fmtid="{D5CDD505-2E9C-101B-9397-08002B2CF9AE}" pid="19" name="_SharedFileIndex">
    <vt:lpwstr/>
  </property>
  <property fmtid="{D5CDD505-2E9C-101B-9397-08002B2CF9AE}" pid="20" name="_SourceUrl">
    <vt:lpwstr/>
  </property>
</Properties>
</file>